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pPr>
      <w:r>
        <w:rPr>
          <w:rFonts w:ascii="Arial" w:cs="Arial" w:eastAsia="Arial" w:hAnsi="Arial"/>
          <w:b/>
          <w:bCs/>
          <w:color w:val="2563EB"/>
          <w:sz w:val="52"/>
          <w:szCs w:val="52"/>
        </w:rPr>
        <w:t xml:space="preserve">Portfolio App</w:t>
      </w:r>
    </w:p>
    <w:p>
      <w:pPr>
        <w:spacing w:before="0" w:after="60"/>
      </w:pPr>
      <w:r>
        <w:rPr>
          <w:rFonts w:ascii="Arial" w:cs="Arial" w:eastAsia="Arial" w:hAnsi="Arial"/>
          <w:color w:val="6B7280"/>
          <w:sz w:val="32"/>
          <w:szCs w:val="32"/>
        </w:rPr>
        <w:t xml:space="preserve">Prompt History Summary</w:t>
      </w:r>
    </w:p>
    <w:p>
      <w:pPr>
        <w:spacing w:before="0" w:after="200"/>
      </w:pPr>
      <w:r>
        <w:rPr>
          <w:rFonts w:ascii="Arial" w:cs="Arial" w:eastAsia="Arial" w:hAnsi="Arial"/>
          <w:i/>
          <w:iCs/>
          <w:color w:val="6B7280"/>
          <w:sz w:val="22"/>
          <w:szCs w:val="22"/>
        </w:rPr>
        <w:t xml:space="preserve">Session 11 — Account Types, Sell Transactions, Mutual Funds &amp; Worker Proxy — March 18, 2026</w:t>
      </w:r>
    </w:p>
    <w:p>
      <w:pPr>
        <w:pBdr>
          <w:bottom w:val="single" w:color="E5E7EB" w:sz="2" w:space="1"/>
        </w:pBdr>
        <w:spacing w:before="160" w:after="160"/>
      </w:pPr>
    </w:p>
    <w:p>
      <w:pPr>
        <w:spacing w:before="60" w:after="100"/>
      </w:pPr>
      <w:r>
        <w:rPr>
          <w:rFonts w:ascii="Arial" w:cs="Arial" w:eastAsia="Arial" w:hAnsi="Arial"/>
          <w:color w:val="374151"/>
          <w:sz w:val="22"/>
          <w:szCs w:val="22"/>
        </w:rPr>
        <w:t xml:space="preserve">This session covered four major feature areas plus an extended debugging sequence to resolve Yahoo Finance CORS and proxy issues — ultimately confirming that no free public API exists for Canadian mutual fund NAV data.</w:t>
      </w:r>
    </w:p>
    <w:p>
      <w:pPr>
        <w:spacing w:before="200" w:after="0"/>
      </w:pPr>
    </w:p>
    <w:p>
      <w:pPr>
        <w:pStyle w:val="Heading1"/>
        <w:pBdr>
          <w:bottom w:val="single" w:color="2563EB" w:sz="6" w:space="1"/>
        </w:pBdr>
        <w:spacing w:before="360" w:after="120"/>
      </w:pPr>
      <w:r>
        <w:rPr>
          <w:rFonts w:ascii="Arial" w:cs="Arial" w:eastAsia="Arial" w:hAnsi="Arial"/>
          <w:b/>
          <w:bCs/>
          <w:color w:val="2563EB"/>
          <w:sz w:val="36"/>
          <w:szCs w:val="36"/>
        </w:rPr>
        <w:t xml:space="preserve">Phase 1 — Account Types, Buy/Sell &amp; Mutual Funds</w:t>
      </w:r>
    </w:p>
    <w:p>
      <w:pPr>
        <w:pStyle w:val="Heading3"/>
        <w:spacing w:before="200" w:after="60"/>
      </w:pPr>
      <w:r>
        <w:rPr>
          <w:rFonts w:ascii="Arial" w:cs="Arial" w:eastAsia="Arial" w:hAnsi="Arial"/>
          <w:b/>
          <w:bCs/>
          <w:color w:val="374151"/>
          <w:sz w:val="22"/>
          <w:szCs w:val="22"/>
        </w:rPr>
        <w:t xml:space="preserve">Prompt 1</w:t>
      </w:r>
    </w:p>
    <w:p>
      <w:pPr>
        <w:pBdr>
          <w:left w:val="single" w:color="2563EB" w:sz="12" w:space="6"/>
        </w:pBdr>
        <w:shd w:fill="EFF6FF" w:val="clear"/>
        <w:spacing w:before="80" w:after="80"/>
        <w:ind w:left="720"/>
      </w:pPr>
      <w:r>
        <w:rPr>
          <w:rFonts w:ascii="Arial" w:cs="Arial" w:eastAsia="Arial" w:hAnsi="Arial"/>
          <w:i/>
          <w:iCs/>
          <w:color w:val="1D4ED8"/>
          <w:sz w:val="21"/>
          <w:szCs w:val="21"/>
        </w:rPr>
        <w:t xml:space="preserve">“Include RESP and FHSA in Account Type dropdown. Change Add to Buy. Include Canadian Mutual Fund quotes. Include the ability to Sell shares with Annual Return and Return by Member taking buy/sell prices and exchange rates into account.”</w:t>
      </w:r>
    </w:p>
    <w:p>
      <w:pPr>
        <w:pStyle w:val="Heading2"/>
        <w:spacing w:before="260" w:after="80"/>
      </w:pPr>
      <w:r>
        <w:rPr>
          <w:rFonts w:ascii="Arial" w:cs="Arial" w:eastAsia="Arial" w:hAnsi="Arial"/>
          <w:b/>
          <w:bCs/>
          <w:color w:val="374151"/>
          <w:sz w:val="26"/>
          <w:szCs w:val="26"/>
        </w:rPr>
        <w:t xml:space="preserve">RESP and FHSA</w:t>
      </w:r>
    </w:p>
    <w:p>
      <w:pPr>
        <w:spacing w:before="60" w:after="100"/>
      </w:pPr>
      <w:r>
        <w:rPr>
          <w:rFonts w:ascii="Arial" w:cs="Arial" w:eastAsia="Arial" w:hAnsi="Arial"/>
          <w:color w:val="374151"/>
          <w:sz w:val="22"/>
          <w:szCs w:val="22"/>
        </w:rPr>
        <w:t xml:space="preserve">Added to the account type dropdown with colour-coded pills — purple for RESP, teal for FHSA. Appear in all dropdowns including chart filters and holdings filters.</w:t>
      </w:r>
    </w:p>
    <w:p>
      <w:pPr>
        <w:pStyle w:val="Heading2"/>
        <w:spacing w:before="260" w:after="80"/>
      </w:pPr>
      <w:r>
        <w:rPr>
          <w:rFonts w:ascii="Arial" w:cs="Arial" w:eastAsia="Arial" w:hAnsi="Arial"/>
          <w:b/>
          <w:bCs/>
          <w:color w:val="374151"/>
          <w:sz w:val="26"/>
          <w:szCs w:val="26"/>
        </w:rPr>
        <w:t xml:space="preserve">Buy / Sell Buttons</w:t>
      </w:r>
    </w:p>
    <w:p>
      <w:pPr>
        <w:pStyle w:val="ListParagraph"/>
        <w:numPr>
          <w:ilvl w:val="0"/>
          <w:numId w:val="2"/>
        </w:numPr>
        <w:spacing w:before="40" w:after="40"/>
      </w:pPr>
      <w:r>
        <w:rPr>
          <w:rFonts w:ascii="Arial" w:cs="Arial" w:eastAsia="Arial" w:hAnsi="Arial"/>
          <w:color w:val="374151"/>
          <w:sz w:val="22"/>
          <w:szCs w:val="22"/>
        </w:rPr>
        <w:t xml:space="preserve">+ Add renamed to + Buy</w:t>
      </w:r>
    </w:p>
    <w:p>
      <w:pPr>
        <w:pStyle w:val="ListParagraph"/>
        <w:numPr>
          <w:ilvl w:val="0"/>
          <w:numId w:val="2"/>
        </w:numPr>
        <w:spacing w:before="40" w:after="40"/>
      </w:pPr>
      <w:r>
        <w:rPr>
          <w:rFonts w:ascii="Arial" w:cs="Arial" w:eastAsia="Arial" w:hAnsi="Arial"/>
          <w:color w:val="374151"/>
          <w:sz w:val="22"/>
          <w:szCs w:val="22"/>
        </w:rPr>
        <w:t xml:space="preserve">− Sell button added beside Buy; opens a modal pre-populated with tickers that have remaining shares</w:t>
      </w:r>
    </w:p>
    <w:p>
      <w:pPr>
        <w:pStyle w:val="ListParagraph"/>
        <w:numPr>
          <w:ilvl w:val="0"/>
          <w:numId w:val="2"/>
        </w:numPr>
        <w:spacing w:before="40" w:after="40"/>
      </w:pPr>
      <w:r>
        <w:rPr>
          <w:rFonts w:ascii="Arial" w:cs="Arial" w:eastAsia="Arial" w:hAnsi="Arial"/>
          <w:color w:val="374151"/>
          <w:sz w:val="22"/>
          <w:szCs w:val="22"/>
        </w:rPr>
        <w:t xml:space="preserve">Sell modal validates you cannot sell more than you hold, stores type:'sell' transaction with sellPrice, sellDate, sellCurrency</w:t>
      </w:r>
    </w:p>
    <w:p>
      <w:pPr>
        <w:pStyle w:val="ListParagraph"/>
        <w:numPr>
          <w:ilvl w:val="0"/>
          <w:numId w:val="2"/>
        </w:numPr>
        <w:spacing w:before="40" w:after="40"/>
      </w:pPr>
      <w:r>
        <w:rPr>
          <w:rFonts w:ascii="Arial" w:cs="Arial" w:eastAsia="Arial" w:hAnsi="Arial"/>
          <w:color w:val="374151"/>
          <w:sz w:val="22"/>
          <w:szCs w:val="22"/>
        </w:rPr>
        <w:t xml:space="preserve">Transaction list shows green BUY or red SELL badge; sell rows show −N sh, sell price, and sell date</w:t>
      </w:r>
    </w:p>
    <w:p>
      <w:pPr>
        <w:pStyle w:val="Heading2"/>
        <w:spacing w:before="260" w:after="80"/>
      </w:pPr>
      <w:r>
        <w:rPr>
          <w:rFonts w:ascii="Arial" w:cs="Arial" w:eastAsia="Arial" w:hAnsi="Arial"/>
          <w:b/>
          <w:bCs/>
          <w:color w:val="374151"/>
          <w:sz w:val="26"/>
          <w:szCs w:val="26"/>
        </w:rPr>
        <w:t xml:space="preserve">Sell-Aware Calculations</w:t>
      </w:r>
    </w:p>
    <w:p>
      <w:pPr>
        <w:pStyle w:val="ListParagraph"/>
        <w:numPr>
          <w:ilvl w:val="0"/>
          <w:numId w:val="2"/>
        </w:numPr>
        <w:spacing w:before="40" w:after="40"/>
      </w:pPr>
      <w:r>
        <w:rPr>
          <w:rFonts w:ascii="Arial" w:cs="Arial" w:eastAsia="Arial" w:hAnsi="Arial"/>
          <w:color w:val="374151"/>
          <w:sz w:val="22"/>
          <w:szCs w:val="22"/>
        </w:rPr>
        <w:t xml:space="preserve">buildRows(): net shares per ticker; fully-sold tickers excluded; partially-sold lots scaled proportionally</w:t>
      </w:r>
    </w:p>
    <w:p>
      <w:pPr>
        <w:pStyle w:val="ListParagraph"/>
        <w:numPr>
          <w:ilvl w:val="0"/>
          <w:numId w:val="2"/>
        </w:numPr>
        <w:spacing w:before="40" w:after="40"/>
      </w:pPr>
      <w:r>
        <w:rPr>
          <w:rFonts w:ascii="Arial" w:cs="Arial" w:eastAsia="Arial" w:hAnsi="Arial"/>
          <w:color w:val="374151"/>
          <w:sz w:val="22"/>
          <w:szCs w:val="22"/>
        </w:rPr>
        <w:t xml:space="preserve">buildRoiSeries(): share count reduced from sell date onward using a chronological timeline per ticker</w:t>
      </w:r>
    </w:p>
    <w:p>
      <w:pPr>
        <w:pStyle w:val="ListParagraph"/>
        <w:numPr>
          <w:ilvl w:val="0"/>
          <w:numId w:val="2"/>
        </w:numPr>
        <w:spacing w:before="40" w:after="40"/>
      </w:pPr>
      <w:r>
        <w:rPr>
          <w:rFonts w:ascii="Arial" w:cs="Arial" w:eastAsia="Arial" w:hAnsi="Arial"/>
          <w:color w:val="374151"/>
          <w:sz w:val="22"/>
          <w:szCs w:val="22"/>
        </w:rPr>
        <w:t xml:space="preserve">buildAnnualReturns(): year-end value includes realized sell proceeds; FIFO cost basis tracking; all prices converted at historical FX rates</w:t>
      </w:r>
    </w:p>
    <w:p>
      <w:pPr>
        <w:spacing w:before="200" w:after="0"/>
      </w:pPr>
    </w:p>
    <w:p>
      <w:pPr>
        <w:pStyle w:val="Heading1"/>
        <w:pBdr>
          <w:bottom w:val="single" w:color="2563EB" w:sz="6" w:space="1"/>
        </w:pBdr>
        <w:spacing w:before="360" w:after="120"/>
      </w:pPr>
      <w:r>
        <w:rPr>
          <w:rFonts w:ascii="Arial" w:cs="Arial" w:eastAsia="Arial" w:hAnsi="Arial"/>
          <w:b/>
          <w:bCs/>
          <w:color w:val="2563EB"/>
          <w:sz w:val="36"/>
          <w:szCs w:val="36"/>
        </w:rPr>
        <w:t xml:space="preserve">Phase 2 — Debugging: Yahoo Finance Fetch Errors</w:t>
      </w:r>
    </w:p>
    <w:p>
      <w:pPr>
        <w:spacing w:before="60" w:after="100"/>
      </w:pPr>
      <w:r>
        <w:rPr>
          <w:rFonts w:ascii="Arial" w:cs="Arial" w:eastAsia="Arial" w:hAnsi="Arial"/>
          <w:color w:val="374151"/>
          <w:sz w:val="22"/>
          <w:szCs w:val="22"/>
        </w:rPr>
        <w:t xml:space="preserve">A multi-prompt sequence to diagnose and resolve price fetching failures across different error types.</w:t>
      </w:r>
    </w:p>
    <w:p>
      <w:pPr>
        <w:pStyle w:val="Heading3"/>
        <w:spacing w:before="200" w:after="60"/>
      </w:pPr>
      <w:r>
        <w:rPr>
          <w:rFonts w:ascii="Arial" w:cs="Arial" w:eastAsia="Arial" w:hAnsi="Arial"/>
          <w:b/>
          <w:bCs/>
          <w:color w:val="374151"/>
          <w:sz w:val="22"/>
          <w:szCs w:val="22"/>
        </w:rPr>
        <w:t xml:space="preserve">Error: No quote data for RBF1143.CF</w:t>
      </w:r>
    </w:p>
    <w:p>
      <w:pPr>
        <w:spacing w:before="60" w:after="100"/>
      </w:pPr>
      <w:r>
        <w:rPr>
          <w:rFonts w:ascii="Arial" w:cs="Arial" w:eastAsia="Arial" w:hAnsi="Arial"/>
          <w:color w:val="374151"/>
          <w:sz w:val="22"/>
          <w:szCs w:val="22"/>
        </w:rPr>
        <w:t xml:space="preserve">Root cause: Yahoo's /v8/finance/chart/ returns chart.result = null for .CF tickers. Fixed: .CF tickers route directly to Yahoo's /v7/finance/quote, bypassing the chart API.</w:t>
      </w:r>
    </w:p>
    <w:p>
      <w:pPr>
        <w:pStyle w:val="Heading3"/>
        <w:spacing w:before="200" w:after="60"/>
      </w:pPr>
      <w:r>
        <w:rPr>
          <w:rFonts w:ascii="Arial" w:cs="Arial" w:eastAsia="Arial" w:hAnsi="Arial"/>
          <w:b/>
          <w:bCs/>
          <w:color w:val="374151"/>
          <w:sz w:val="22"/>
          <w:szCs w:val="22"/>
        </w:rPr>
        <w:t xml:space="preserve">Error: Failed to fetch (Worker URL not configured)</w:t>
      </w:r>
    </w:p>
    <w:p>
      <w:pPr>
        <w:spacing w:before="60" w:after="100"/>
      </w:pPr>
      <w:r>
        <w:rPr>
          <w:rFonts w:ascii="Arial" w:cs="Arial" w:eastAsia="Arial" w:hAnsi="Arial"/>
          <w:color w:val="374151"/>
          <w:sz w:val="22"/>
          <w:szCs w:val="22"/>
        </w:rPr>
        <w:t xml:space="preserve">Root cause: All three proxy fallbacks (allorigins, corsproxy.io, direct) were blocked by Yahoo. Worker URL not set. Added amber warning banner, ✗ Not set / ✓ Connected status indicator, and auto-field highlighting.</w:t>
      </w:r>
    </w:p>
    <w:p>
      <w:pPr>
        <w:pStyle w:val="Heading3"/>
        <w:spacing w:before="200" w:after="60"/>
      </w:pPr>
      <w:r>
        <w:rPr>
          <w:rFonts w:ascii="Arial" w:cs="Arial" w:eastAsia="Arial" w:hAnsi="Arial"/>
          <w:b/>
          <w:bCs/>
          <w:color w:val="374151"/>
          <w:sz w:val="22"/>
          <w:szCs w:val="22"/>
        </w:rPr>
        <w:t xml:space="preserve">Error: Failed to fetch NVDA (Worker configured but failing)</w:t>
      </w:r>
    </w:p>
    <w:p>
      <w:pPr>
        <w:spacing w:before="60" w:after="100"/>
      </w:pPr>
      <w:r>
        <w:rPr>
          <w:rFonts w:ascii="Arial" w:cs="Arial" w:eastAsia="Arial" w:hAnsi="Arial"/>
          <w:color w:val="374151"/>
          <w:sz w:val="22"/>
          <w:szCs w:val="22"/>
        </w:rPr>
        <w:t xml:space="preserve">Root cause: Worker running old code with broken crumb-fetch logic. Worker rewritten with proper Chrome 124 browser headers (User-Agent, sec-fetch headers, Referer). Test button added beside Worker URL field.</w:t>
      </w:r>
    </w:p>
    <w:p>
      <w:pPr>
        <w:pStyle w:val="Heading3"/>
        <w:spacing w:before="200" w:after="60"/>
      </w:pPr>
      <w:r>
        <w:rPr>
          <w:rFonts w:ascii="Arial" w:cs="Arial" w:eastAsia="Arial" w:hAnsi="Arial"/>
          <w:b/>
          <w:bCs/>
          <w:color w:val="374151"/>
          <w:sz w:val="22"/>
          <w:szCs w:val="22"/>
        </w:rPr>
        <w:t xml:space="preserve">Test button: HTTP 404</w:t>
      </w:r>
    </w:p>
    <w:p>
      <w:pPr>
        <w:spacing w:before="60" w:after="100"/>
      </w:pPr>
      <w:r>
        <w:rPr>
          <w:rFonts w:ascii="Arial" w:cs="Arial" w:eastAsia="Arial" w:hAnsi="Arial"/>
          <w:color w:val="374151"/>
          <w:sz w:val="22"/>
          <w:szCs w:val="22"/>
        </w:rPr>
        <w:t xml:space="preserve">Root cause: Worker URL pasted with /proxy path appended. App now auto-strips any path suffix from the Worker URL on save and test.</w:t>
      </w:r>
    </w:p>
    <w:p>
      <w:pPr>
        <w:pStyle w:val="Heading3"/>
        <w:spacing w:before="200" w:after="60"/>
      </w:pPr>
      <w:r>
        <w:rPr>
          <w:rFonts w:ascii="Arial" w:cs="Arial" w:eastAsia="Arial" w:hAnsi="Arial"/>
          <w:b/>
          <w:bCs/>
          <w:color w:val="374151"/>
          <w:sz w:val="22"/>
          <w:szCs w:val="22"/>
        </w:rPr>
        <w:t xml:space="preserve">Test button: Failed to fetch (file:// origin)</w:t>
      </w:r>
    </w:p>
    <w:p>
      <w:pPr>
        <w:spacing w:before="60" w:after="100"/>
      </w:pPr>
      <w:r>
        <w:rPr>
          <w:rFonts w:ascii="Arial" w:cs="Arial" w:eastAsia="Arial" w:hAnsi="Arial"/>
          <w:color w:val="374151"/>
          <w:sz w:val="22"/>
          <w:szCs w:val="22"/>
        </w:rPr>
        <w:t xml:space="preserve">Root cause: Both fetch() and XHR are blocked by Chrome when HTML file is opened from file:// (null origin policy). All network calls switched from fetch() to XMLHttpRequest, which is less restrictive for null origins.</w:t>
      </w:r>
    </w:p>
    <w:p>
      <w:pPr>
        <w:pStyle w:val="Heading3"/>
        <w:spacing w:before="200" w:after="60"/>
      </w:pPr>
      <w:r>
        <w:rPr>
          <w:rFonts w:ascii="Arial" w:cs="Arial" w:eastAsia="Arial" w:hAnsi="Arial"/>
          <w:b/>
          <w:bCs/>
          <w:color w:val="374151"/>
          <w:sz w:val="22"/>
          <w:szCs w:val="22"/>
        </w:rPr>
        <w:t xml:space="preserve">Test button: Cannot reach Worker</w:t>
      </w:r>
    </w:p>
    <w:p>
      <w:pPr>
        <w:spacing w:before="60" w:after="100"/>
      </w:pPr>
      <w:r>
        <w:rPr>
          <w:rFonts w:ascii="Arial" w:cs="Arial" w:eastAsia="Arial" w:hAnsi="Arial"/>
          <w:color w:val="374151"/>
          <w:sz w:val="22"/>
          <w:szCs w:val="22"/>
        </w:rPr>
        <w:t xml:space="preserve">Root cause: XHR also blocked from file:// origin. Definitive fix: the HTML file must be served from https://. Red warning banner added with three hosting options: GitHub Pages, Netlify Drop, and Python local server.</w:t>
      </w:r>
    </w:p>
    <w:p>
      <w:pPr>
        <w:pStyle w:val="Heading3"/>
        <w:spacing w:before="200" w:after="60"/>
      </w:pPr>
      <w:r>
        <w:rPr>
          <w:rFonts w:ascii="Arial" w:cs="Arial" w:eastAsia="Arial" w:hAnsi="Arial"/>
          <w:b/>
          <w:bCs/>
          <w:color w:val="374151"/>
          <w:sz w:val="22"/>
          <w:szCs w:val="22"/>
        </w:rPr>
        <w:t xml:space="preserve">Worker works in browser but app still fails</w:t>
      </w:r>
    </w:p>
    <w:p>
      <w:pPr>
        <w:spacing w:before="60" w:after="100"/>
      </w:pPr>
      <w:r>
        <w:rPr>
          <w:rFonts w:ascii="Arial" w:cs="Arial" w:eastAsia="Arial" w:hAnsi="Arial"/>
          <w:color w:val="374151"/>
          <w:sz w:val="22"/>
          <w:szCs w:val="22"/>
        </w:rPr>
        <w:t xml:space="preserve">Root cause confirmed: browser CORS policy blocks outbound requests from file:// regardless of Worker CORS headers. Worker was correct all along.</w:t>
      </w:r>
    </w:p>
    <w:p>
      <w:pPr>
        <w:pStyle w:val="Heading3"/>
        <w:spacing w:before="200" w:after="60"/>
      </w:pPr>
      <w:r>
        <w:rPr>
          <w:rFonts w:ascii="Arial" w:cs="Arial" w:eastAsia="Arial" w:hAnsi="Arial"/>
          <w:b/>
          <w:bCs/>
          <w:color w:val="374151"/>
          <w:sz w:val="22"/>
          <w:szCs w:val="22"/>
        </w:rPr>
        <w:t xml:space="preserve">Worker returning HTML (Unexpected token &lt; error)</w:t>
      </w:r>
    </w:p>
    <w:p>
      <w:pPr>
        <w:spacing w:before="60" w:after="100"/>
      </w:pPr>
      <w:r>
        <w:rPr>
          <w:rFonts w:ascii="Arial" w:cs="Arial" w:eastAsia="Arial" w:hAnsi="Arial"/>
          <w:color w:val="374151"/>
          <w:sz w:val="22"/>
          <w:szCs w:val="22"/>
        </w:rPr>
        <w:t xml:space="preserve">Root cause: Yahoo's GDPR consent gate returning an HTML page. Worker rewritten with Yahoo consent cookies (EuConsent, GUC, GUCS). Both Worker and app now detect HTML responses before attempting JSON parse.</w:t>
      </w:r>
    </w:p>
    <w:p>
      <w:pPr>
        <w:spacing w:before="200" w:after="0"/>
      </w:pPr>
    </w:p>
    <w:p>
      <w:pPr>
        <w:pStyle w:val="Heading1"/>
        <w:pBdr>
          <w:bottom w:val="single" w:color="2563EB" w:sz="6" w:space="1"/>
        </w:pBdr>
        <w:spacing w:before="360" w:after="120"/>
      </w:pPr>
      <w:r>
        <w:rPr>
          <w:rFonts w:ascii="Arial" w:cs="Arial" w:eastAsia="Arial" w:hAnsi="Arial"/>
          <w:b/>
          <w:bCs/>
          <w:color w:val="2563EB"/>
          <w:sz w:val="36"/>
          <w:szCs w:val="36"/>
        </w:rPr>
        <w:t xml:space="preserve">Phase 3 — Canadian Mutual Fund NAV (No Public API)</w:t>
      </w:r>
    </w:p>
    <w:p>
      <w:pPr>
        <w:pStyle w:val="Heading3"/>
        <w:spacing w:before="200" w:after="60"/>
      </w:pPr>
      <w:r>
        <w:rPr>
          <w:rFonts w:ascii="Arial" w:cs="Arial" w:eastAsia="Arial" w:hAnsi="Arial"/>
          <w:b/>
          <w:bCs/>
          <w:color w:val="374151"/>
          <w:sz w:val="22"/>
          <w:szCs w:val="22"/>
        </w:rPr>
        <w:t xml:space="preserve">Error: No v7 quote for RBF1143.CF</w:t>
      </w:r>
    </w:p>
    <w:p>
      <w:pPr>
        <w:spacing w:before="60" w:after="100"/>
      </w:pPr>
      <w:r>
        <w:rPr>
          <w:rFonts w:ascii="Arial" w:cs="Arial" w:eastAsia="Arial" w:hAnsi="Arial"/>
          <w:color w:val="374151"/>
          <w:sz w:val="22"/>
          <w:szCs w:val="22"/>
        </w:rPr>
        <w:t xml:space="preserve">Root cause (definitive): Yahoo Finance does not carry Canadian mutual funds at any endpoint. The .CF suffix is a Globe and Mail/Barchart convention that Yahoo has never supported. No free CORS-friendly public JSON API exists for Canadian mutual fund NAV data.</w:t>
      </w:r>
    </w:p>
    <w:p>
      <w:pPr>
        <w:pStyle w:val="Heading2"/>
        <w:spacing w:before="260" w:after="80"/>
      </w:pPr>
      <w:r>
        <w:rPr>
          <w:rFonts w:ascii="Arial" w:cs="Arial" w:eastAsia="Arial" w:hAnsi="Arial"/>
          <w:b/>
          <w:bCs/>
          <w:color w:val="374151"/>
          <w:sz w:val="26"/>
          <w:szCs w:val="26"/>
        </w:rPr>
        <w:t xml:space="preserve">Solution: Manual NAV Entry</w:t>
      </w:r>
    </w:p>
    <w:p>
      <w:pPr>
        <w:pStyle w:val="ListParagraph"/>
        <w:numPr>
          <w:ilvl w:val="0"/>
          <w:numId w:val="2"/>
        </w:numPr>
        <w:spacing w:before="40" w:after="40"/>
      </w:pPr>
      <w:r>
        <w:rPr>
          <w:rFonts w:ascii="Arial" w:cs="Arial" w:eastAsia="Arial" w:hAnsi="Arial"/>
          <w:color w:val="374151"/>
          <w:sz w:val="22"/>
          <w:szCs w:val="22"/>
        </w:rPr>
        <w:t xml:space="preserve">.CF tickers no longer attempt any network fetch — they use a manual NAV store in localStorage</w:t>
      </w:r>
    </w:p>
    <w:p>
      <w:pPr>
        <w:pStyle w:val="ListParagraph"/>
        <w:numPr>
          <w:ilvl w:val="0"/>
          <w:numId w:val="2"/>
        </w:numPr>
        <w:spacing w:before="40" w:after="40"/>
      </w:pPr>
      <w:r>
        <w:rPr>
          <w:rFonts w:ascii="Arial" w:cs="Arial" w:eastAsia="Arial" w:hAnsi="Arial"/>
          <w:color w:val="374151"/>
          <w:sz w:val="22"/>
          <w:szCs w:val="22"/>
        </w:rPr>
        <w:t xml:space="preserve">On Refresh Prices, placeholder from purchase price is used so the holding appears without errors</w:t>
      </w:r>
    </w:p>
    <w:p>
      <w:pPr>
        <w:pStyle w:val="ListParagraph"/>
        <w:numPr>
          <w:ilvl w:val="0"/>
          <w:numId w:val="2"/>
        </w:numPr>
        <w:spacing w:before="40" w:after="40"/>
      </w:pPr>
      <w:r>
        <w:rPr>
          <w:rFonts w:ascii="Arial" w:cs="Arial" w:eastAsia="Arial" w:hAnsi="Arial"/>
          <w:color w:val="374151"/>
          <w:sz w:val="22"/>
          <w:szCs w:val="22"/>
        </w:rPr>
        <w:t xml:space="preserve">Each .CF holding in the transaction list shows a NAV ✎ button</w:t>
      </w:r>
    </w:p>
    <w:p>
      <w:pPr>
        <w:pStyle w:val="ListParagraph"/>
        <w:numPr>
          <w:ilvl w:val="0"/>
          <w:numId w:val="2"/>
        </w:numPr>
        <w:spacing w:before="40" w:after="40"/>
      </w:pPr>
      <w:r>
        <w:rPr>
          <w:rFonts w:ascii="Arial" w:cs="Arial" w:eastAsia="Arial" w:hAnsi="Arial"/>
          <w:color w:val="374151"/>
          <w:sz w:val="22"/>
          <w:szCs w:val="22"/>
        </w:rPr>
        <w:t xml:space="preserve">Clicking prompts the user to enter the current NAV (from their bank statement, online banking, or rbcgam.com)</w:t>
      </w:r>
    </w:p>
    <w:p>
      <w:pPr>
        <w:pStyle w:val="ListParagraph"/>
        <w:numPr>
          <w:ilvl w:val="0"/>
          <w:numId w:val="2"/>
        </w:numPr>
        <w:spacing w:before="40" w:after="40"/>
      </w:pPr>
      <w:r>
        <w:rPr>
          <w:rFonts w:ascii="Arial" w:cs="Arial" w:eastAsia="Arial" w:hAnsi="Arial"/>
          <w:color w:val="374151"/>
          <w:sz w:val="22"/>
          <w:szCs w:val="22"/>
        </w:rPr>
        <w:t xml:space="preserve">NAV stored in portfolioManualNav with a running history array (up to 500 daily points)</w:t>
      </w:r>
    </w:p>
    <w:p>
      <w:pPr>
        <w:pStyle w:val="ListParagraph"/>
        <w:numPr>
          <w:ilvl w:val="0"/>
          <w:numId w:val="2"/>
        </w:numPr>
        <w:spacing w:before="40" w:after="40"/>
      </w:pPr>
      <w:r>
        <w:rPr>
          <w:rFonts w:ascii="Arial" w:cs="Arial" w:eastAsia="Arial" w:hAnsi="Arial"/>
          <w:color w:val="374151"/>
          <w:sz w:val="22"/>
          <w:szCs w:val="22"/>
        </w:rPr>
        <w:t xml:space="preserve">Historical NAV points used for Net Worth Over Time charts and Annual Return calculations</w:t>
      </w:r>
    </w:p>
    <w:p>
      <w:pPr>
        <w:spacing w:before="200" w:after="0"/>
      </w:pPr>
    </w:p>
    <w:p>
      <w:pPr>
        <w:pStyle w:val="Heading1"/>
        <w:pBdr>
          <w:bottom w:val="single" w:color="2563EB" w:sz="6" w:space="1"/>
        </w:pBdr>
        <w:spacing w:before="360" w:after="120"/>
      </w:pPr>
      <w:r>
        <w:rPr>
          <w:rFonts w:ascii="Arial" w:cs="Arial" w:eastAsia="Arial" w:hAnsi="Arial"/>
          <w:b/>
          <w:bCs/>
          <w:color w:val="2563EB"/>
          <w:sz w:val="36"/>
          <w:szCs w:val="36"/>
        </w:rPr>
        <w:t xml:space="preserve">Phase 4 — Hosting Guidance</w:t>
      </w:r>
    </w:p>
    <w:p>
      <w:pPr>
        <w:spacing w:before="60" w:after="100"/>
      </w:pPr>
      <w:r>
        <w:rPr>
          <w:rFonts w:ascii="Arial" w:cs="Arial" w:eastAsia="Arial" w:hAnsi="Arial"/>
          <w:color w:val="374151"/>
          <w:sz w:val="22"/>
          <w:szCs w:val="22"/>
        </w:rPr>
        <w:t xml:space="preserve">The app must be served from https:// for any network requests to work. A persistent red banner appears when file:// origin is detected.</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80"/>
        <w:gridCol w:w="4080"/>
      </w:tblGrid>
      <w:tr>
        <w:trPr>
          <w:tblHeader/>
        </w:trPr>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Option</w:t>
            </w:r>
          </w:p>
        </w:tc>
        <w:tc>
          <w:tcPr>
            <w:tcW w:type="dxa" w:w="288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408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URL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Netlify Drop</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30 seconds, drag and drop</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https://xxx.netlify.app</w:t>
            </w:r>
          </w:p>
        </w:tc>
      </w:tr>
      <w:tr>
        <w:tc>
          <w:tcPr>
            <w:tcW w:type="dxa" w:w="240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GitHub Pages</w:t>
            </w:r>
          </w:p>
        </w:tc>
        <w:tc>
          <w:tcPr>
            <w:tcW w:type="dxa" w:w="28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~5 minutes, permanent</w:t>
            </w:r>
          </w:p>
        </w:tc>
        <w:tc>
          <w:tcPr>
            <w:tcW w:type="dxa" w:w="408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https://yourname.github.io/repo</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Python local server</w:t>
            </w:r>
          </w:p>
        </w:tc>
        <w:tc>
          <w:tcPr>
            <w:tcW w:type="dxa" w:w="28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Instant if Python installed</w:t>
            </w:r>
          </w:p>
        </w:tc>
        <w:tc>
          <w:tcPr>
            <w:tcW w:type="dxa" w:w="40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http://localhost:8000</w:t>
            </w:r>
          </w:p>
        </w:tc>
      </w:tr>
    </w:tbl>
    <w:p>
      <w:pPr>
        <w:spacing w:before="200" w:after="0"/>
      </w:pPr>
    </w:p>
    <w:p>
      <w:pPr>
        <w:pBdr>
          <w:bottom w:val="single" w:color="E5E7EB" w:sz="2" w:space="1"/>
        </w:pBdr>
        <w:spacing w:before="160" w:after="160"/>
      </w:pPr>
    </w:p>
    <w:p>
      <w:pPr>
        <w:spacing w:before="120" w:after="0"/>
      </w:pPr>
    </w:p>
    <w:p>
      <w:pPr>
        <w:pStyle w:val="Heading1"/>
        <w:pBdr>
          <w:bottom w:val="single" w:color="2563EB" w:sz="6" w:space="1"/>
        </w:pBdr>
        <w:spacing w:before="360" w:after="120"/>
      </w:pPr>
      <w:r>
        <w:rPr>
          <w:rFonts w:ascii="Arial" w:cs="Arial" w:eastAsia="Arial" w:hAnsi="Arial"/>
          <w:b/>
          <w:bCs/>
          <w:color w:val="2563EB"/>
          <w:sz w:val="36"/>
          <w:szCs w:val="36"/>
        </w:rPr>
        <w:t xml:space="preserve">Cumulative Feature List — All Sessions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rPr>
          <w:tblHeader/>
        </w:trPr>
        <w:tc>
          <w:tcPr>
            <w:tcW w:type="dxa" w:w="144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Session</w:t>
            </w:r>
          </w:p>
        </w:tc>
        <w:tc>
          <w:tcPr>
            <w:tcW w:type="dxa" w:w="792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Features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V1</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Single-member tracker, Yahoo Finance prices, basic HTML</w:t>
            </w:r>
          </w:p>
        </w:tc>
      </w:tr>
      <w:tr>
        <w:tc>
          <w:tcPr>
            <w:tcW w:type="dxa" w:w="14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V2</w:t>
            </w:r>
          </w:p>
        </w:tc>
        <w:tc>
          <w:tcPr>
            <w:tcW w:type="dxa" w:w="79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Multi-member family views, consolidated family tab</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V3</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Financial institutions, RRSP/TFSA/Non-Reg account types</w:t>
            </w:r>
          </w:p>
        </w:tc>
      </w:tr>
      <w:tr>
        <w:tc>
          <w:tcPr>
            <w:tcW w:type="dxa" w:w="14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V4</w:t>
            </w:r>
          </w:p>
        </w:tc>
        <w:tc>
          <w:tcPr>
            <w:tcW w:type="dxa" w:w="79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CAD/USD dual currency, live FX rate, per-account currency tracking</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V5</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Light mode UI, 60-second auto-refresh, Net Worth Over Time charts</w:t>
            </w:r>
          </w:p>
        </w:tc>
      </w:tr>
      <w:tr>
        <w:tc>
          <w:tcPr>
            <w:tcW w:type="dxa" w:w="14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V6</w:t>
            </w:r>
          </w:p>
        </w:tc>
        <w:tc>
          <w:tcPr>
            <w:tcW w:type="dxa" w:w="79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ROI chart filters, holdings table ticker filter</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V7</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Net Worth dollar charts, CA$/US$ currency toggles on charts</w:t>
            </w:r>
          </w:p>
        </w:tc>
      </w:tr>
      <w:tr>
        <w:tc>
          <w:tcPr>
            <w:tcW w:type="dxa" w:w="14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V8</w:t>
            </w:r>
          </w:p>
        </w:tc>
        <w:tc>
          <w:tcPr>
            <w:tcW w:type="dxa" w:w="79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CAGR fix, price chip ticker strip, auto-refresh fix</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V9</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Split-adjusted price chip fix, Cloudflare Worker CORS proxy, ticker pie charts</w:t>
            </w:r>
          </w:p>
        </w:tc>
      </w:tr>
      <w:tr>
        <w:tc>
          <w:tcPr>
            <w:tcW w:type="dxa" w:w="144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V10</w:t>
            </w:r>
          </w:p>
        </w:tc>
        <w:tc>
          <w:tcPr>
            <w:tcW w:type="dxa" w:w="7920"/>
            <w:tcBorders>
              <w:top w:val="single" w:color="DDDDDD" w:sz="1"/>
              <w:left w:val="single" w:color="DDDDDD" w:sz="1"/>
              <w:bottom w:val="single" w:color="DDDDDD" w:sz="1"/>
              <w:right w:val="single" w:color="DDDDDD" w:sz="1"/>
            </w:tcBorders>
            <w:shd w:fill="F8FAFC" w:val="clear"/>
            <w:tcMar>
              <w:top w:type="dxa" w:w="80"/>
              <w:left w:type="dxa" w:w="120"/>
              <w:bottom w:type="dxa" w:w="80"/>
              <w:right w:type="dxa" w:w="120"/>
            </w:tcMar>
          </w:tcPr>
          <w:p>
            <w:r>
              <w:rPr>
                <w:rFonts w:ascii="Arial" w:cs="Arial" w:eastAsia="Arial" w:hAnsi="Arial"/>
                <w:color w:val="374151"/>
                <w:sz w:val="20"/>
                <w:szCs w:val="20"/>
              </w:rPr>
              <w:t xml:space="preserve">Shares/value on pie tooltips, Annual Return bar chart, P&amp;L labels, historical FX rates</w:t>
            </w:r>
          </w:p>
        </w:tc>
      </w:tr>
      <w:tr>
        <w:tc>
          <w:tcPr>
            <w:tcW w:type="dxa" w:w="14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V11</w:t>
            </w:r>
          </w:p>
        </w:tc>
        <w:tc>
          <w:tcPr>
            <w:tcW w:type="dxa" w:w="792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RESP/FHSA, Buy/Sell transactions with historical FX, sell-aware returns, mutual fund manual NAV, Worker hardening, hosting guidance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2563EB"/>
      <w:sz w:val="36"/>
      <w:szCs w:val="36"/>
    </w:rPr>
  </w:style>
  <w:style w:type="paragraph" w:styleId="Heading2">
    <w:name w:val="Heading 2"/>
    <w:basedOn w:val="Normal"/>
    <w:next w:val="Normal"/>
    <w:qFormat/>
    <w:pPr>
      <w:spacing w:before="260" w:after="80"/>
      <w:outlineLvl w:val="1"/>
    </w:pPr>
    <w:rPr>
      <w:rFonts w:ascii="Arial" w:cs="Arial" w:eastAsia="Arial" w:hAnsi="Arial"/>
      <w:b/>
      <w:bCs/>
      <w:color w:val="374151"/>
      <w:sz w:val="26"/>
      <w:szCs w:val="26"/>
    </w:rPr>
  </w:style>
  <w:style w:type="paragraph" w:styleId="Heading3">
    <w:name w:val="Heading 3"/>
    <w:basedOn w:val="Normal"/>
    <w:next w:val="Normal"/>
    <w:qFormat/>
    <w:pPr>
      <w:spacing w:before="200" w:after="6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2026-03-19T00:08:30.327Z</dcterms:created>
  <dcterms:modified xsi:type="dcterms:W3CDTF">2026-03-19T00:08:30.329Z</dcterms:modified>
</cp:coreProperties>
</file>

<file path=docProps/custom.xml><?xml version="1.0" encoding="utf-8"?>
<Properties xmlns="http://schemas.openxmlformats.org/officeDocument/2006/custom-properties" xmlns:vt="http://schemas.openxmlformats.org/officeDocument/2006/docPropsVTypes"/>
</file>