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30"/>
        <w:gridCol w:w="5630"/>
      </w:tblGrid>
      <w:tr>
        <w:tc>
          <w:tcPr>
            <w:tcW w:type="dxa" w:w="6264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63240" cy="44526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ny-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445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97"/>
            <w:vAlign w:val="center"/>
            <w:tcBorders>
              <w:left w:val="single" w:sz="5" w:color="5BC0DE"/>
            </w:tcBorders>
          </w:tcPr>
          <w:p>
            <w:r>
              <w:rPr>
                <w:rFonts w:ascii="Arial" w:hAnsi="Arial"/>
                <w:sz w:val="18"/>
              </w:rPr>
              <w:t>1220 South Pasadena, Mesa, AZ 85210</w:t>
              <w:br/>
              <w:t>480-969-6606    www.partitionsco.com</w:t>
              <w:br/>
              <w:t>ROC # CR60 110352    Tax ID#07370669</w:t>
            </w:r>
          </w:p>
        </w:tc>
      </w:tr>
    </w:tbl>
    <w:p>
      <w:r>
        <w:rPr>
          <w:rFonts w:ascii="Arial" w:hAnsi="Arial"/>
          <w:i/>
          <w:color w:val="595959"/>
          <w:sz w:val="18"/>
        </w:rPr>
        <w:t>Proposal body is generated by BID Builder.</w:t>
      </w:r>
    </w:p>
    <w:sectPr w:rsidR="00FC693F" w:rsidRPr="0006063C" w:rsidSect="00034616">
      <w:footerReference w:type="default" r:id="rId10"/>
      <w:pgSz w:w="12240" w:h="15840"/>
      <w:pgMar w:top="461" w:right="490" w:bottom="1181" w:left="490" w:header="720" w:footer="23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Arial" w:hAnsi="Arial"/>
        <w:sz w:val="11"/>
      </w:rPr>
      <w:t>Customer-specific terms and conditions are inserted by the proposal generator from the approved clause profile.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