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E88B61"/>
          <w:sz w:val="18"/>
        </w:rPr>
        <w:t>SETUP GUIDE  /  JULY 20, 2026</w:t>
      </w:r>
    </w:p>
    <w:p>
      <w:pPr>
        <w:pStyle w:val="Title"/>
      </w:pPr>
      <w:r>
        <w:t>Connect “Send my plan to Inflection” to Web3Forms</w:t>
      </w:r>
    </w:p>
    <w:p>
      <w:pPr>
        <w:pStyle w:val="Subtitle"/>
      </w:pPr>
      <w:r>
        <w:t>What to retrieve, what to send, and what to approve before the stock-planning intake goes live</w:t>
      </w:r>
    </w:p>
    <w:p>
      <w:pPr>
        <w:spacing w:after="240"/>
      </w:pPr>
      <w:r>
        <w:rPr>
          <w:b/>
        </w:rPr>
        <w:t xml:space="preserve">Prepared for: </w:t>
      </w:r>
      <w:r>
        <w:t xml:space="preserve">Inflection Capital Management   </w:t>
      </w:r>
      <w:r>
        <w:rPr>
          <w:b/>
        </w:rPr>
        <w:t xml:space="preserve">Scope: </w:t>
      </w:r>
      <w:r>
        <w:t>Information only—no website code changes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AF4F1"/>
            <w:tcBorders>
              <w:top w:val="single" w:sz="10" w:color="79BFC0"/>
              <w:left w:val="single" w:sz="10" w:color="79BFC0"/>
              <w:bottom w:val="single" w:sz="10" w:color="79BFC0"/>
              <w:right w:val="single" w:sz="10" w:color="79BFC0"/>
              <w:insideH w:val="single" w:sz="10" w:color="79BFC0"/>
              <w:insideV w:val="single" w:sz="10" w:color="79BFC0"/>
            </w:tcBorders>
            <w:vAlign w:val="center"/>
          </w:tcPr>
          <w:p>
            <w:pPr>
              <w:spacing w:after="60"/>
            </w:pPr>
            <w:r>
              <w:rPr>
                <w:b/>
                <w:color w:val="073B2E"/>
                <w:sz w:val="23"/>
              </w:rPr>
              <w:t>The short answer</w:t>
            </w:r>
          </w:p>
          <w:p>
            <w:pPr>
              <w:spacing w:after="0" w:line="276" w:lineRule="auto"/>
            </w:pPr>
            <w:r>
              <w:t>Send the Web3Forms Access Key tied to the intake inbox, confirm the receiving email address, and confirm whether paid attachment support is enabled. Do not send a Web3Forms password, email password, MFA code, or any other account credential.</w:t>
            </w:r>
          </w:p>
        </w:tc>
      </w:tr>
    </w:tbl>
    <w:p>
      <w:pPr>
        <w:pStyle w:val="Heading1"/>
        <w:pBdr>
          <w:bottom w:val="single" w:sz="8" w:space="5" w:color="79BFC0"/>
        </w:pBdr>
      </w:pPr>
      <w:r>
        <w:t>What is needed from Web3Forms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02"/>
        <w:gridCol w:w="6458"/>
      </w:tblGrid>
      <w:tr>
        <w:trPr>
          <w:tblHeader w:val="true"/>
        </w:trPr>
        <w:tc>
          <w:tcPr>
            <w:tcW w:type="dxa" w:w="2902"/>
            <w:shd w:fill="073B2E"/>
            <w:tcBorders>
              <w:top w:val="single" w:sz="6" w:color="073B2E"/>
              <w:left w:val="single" w:sz="6" w:color="073B2E"/>
              <w:bottom w:val="single" w:sz="6" w:color="073B2E"/>
              <w:right w:val="single" w:sz="6" w:color="073B2E"/>
              <w:insideH w:val="single" w:sz="6" w:color="073B2E"/>
              <w:insideV w:val="single" w:sz="6" w:color="073B2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6458"/>
            <w:shd w:fill="073B2E"/>
            <w:tcBorders>
              <w:top w:val="single" w:sz="6" w:color="073B2E"/>
              <w:left w:val="single" w:sz="6" w:color="073B2E"/>
              <w:bottom w:val="single" w:sz="6" w:color="073B2E"/>
              <w:right w:val="single" w:sz="6" w:color="073B2E"/>
              <w:insideH w:val="single" w:sz="6" w:color="073B2E"/>
              <w:insideV w:val="single" w:sz="6" w:color="073B2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</w:rPr>
              <w:t>What to provide</w:t>
            </w:r>
          </w:p>
        </w:tc>
      </w:tr>
      <w:tr>
        <w:trPr/>
        <w:tc>
          <w:tcPr>
            <w:tcW w:type="dxa" w:w="2902"/>
            <w:shd w:fill="FFFFFF"/>
            <w:tcBorders>
              <w:top w:val="single" w:sz="4" w:color="CBD8D4"/>
              <w:left w:val="single" w:sz="4" w:color="CBD8D4"/>
              <w:bottom w:val="single" w:sz="4" w:color="CBD8D4"/>
              <w:right w:val="single" w:sz="4" w:color="CBD8D4"/>
              <w:insideH w:val="single" w:sz="4" w:color="CBD8D4"/>
              <w:insideV w:val="single" w:sz="4" w:color="CBD8D4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073B2E"/>
              </w:rPr>
              <w:t>Access Key — required</w:t>
            </w:r>
          </w:p>
        </w:tc>
        <w:tc>
          <w:tcPr>
            <w:tcW w:type="dxa" w:w="6458"/>
            <w:shd w:fill="FFFFFF"/>
            <w:tcBorders>
              <w:top w:val="single" w:sz="4" w:color="CBD8D4"/>
              <w:left w:val="single" w:sz="4" w:color="CBD8D4"/>
              <w:bottom w:val="single" w:sz="4" w:color="CBD8D4"/>
              <w:right w:val="single" w:sz="4" w:color="CBD8D4"/>
              <w:insideH w:val="single" w:sz="4" w:color="CBD8D4"/>
              <w:insideV w:val="single" w:sz="4" w:color="CBD8D4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t>The public Web3Forms access key created for the receiving inbox. This is the one item needed to activate the existing automatic-send flow.</w:t>
            </w:r>
          </w:p>
        </w:tc>
      </w:tr>
      <w:tr>
        <w:trPr/>
        <w:tc>
          <w:tcPr>
            <w:tcW w:type="dxa" w:w="2902"/>
            <w:shd w:fill="F5F8F7"/>
            <w:tcBorders>
              <w:top w:val="single" w:sz="4" w:color="CBD8D4"/>
              <w:left w:val="single" w:sz="4" w:color="CBD8D4"/>
              <w:bottom w:val="single" w:sz="4" w:color="CBD8D4"/>
              <w:right w:val="single" w:sz="4" w:color="CBD8D4"/>
              <w:insideH w:val="single" w:sz="4" w:color="CBD8D4"/>
              <w:insideV w:val="single" w:sz="4" w:color="CBD8D4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073B2E"/>
              </w:rPr>
              <w:t>Receiving email — required</w:t>
            </w:r>
          </w:p>
        </w:tc>
        <w:tc>
          <w:tcPr>
            <w:tcW w:type="dxa" w:w="6458"/>
            <w:shd w:fill="F5F8F7"/>
            <w:tcBorders>
              <w:top w:val="single" w:sz="4" w:color="CBD8D4"/>
              <w:left w:val="single" w:sz="4" w:color="CBD8D4"/>
              <w:bottom w:val="single" w:sz="4" w:color="CBD8D4"/>
              <w:right w:val="single" w:sz="4" w:color="CBD8D4"/>
              <w:insideH w:val="single" w:sz="4" w:color="CBD8D4"/>
              <w:insideV w:val="single" w:sz="4" w:color="CBD8D4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t>Confirm the exact inbox that should receive plans. Proposed: ipo@inflectioncm.com.</w:t>
            </w:r>
          </w:p>
        </w:tc>
      </w:tr>
      <w:tr>
        <w:trPr/>
        <w:tc>
          <w:tcPr>
            <w:tcW w:type="dxa" w:w="2902"/>
            <w:shd w:fill="FFFFFF"/>
            <w:tcBorders>
              <w:top w:val="single" w:sz="4" w:color="CBD8D4"/>
              <w:left w:val="single" w:sz="4" w:color="CBD8D4"/>
              <w:bottom w:val="single" w:sz="4" w:color="CBD8D4"/>
              <w:right w:val="single" w:sz="4" w:color="CBD8D4"/>
              <w:insideH w:val="single" w:sz="4" w:color="CBD8D4"/>
              <w:insideV w:val="single" w:sz="4" w:color="CBD8D4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073B2E"/>
              </w:rPr>
              <w:t>Attachment support — decision</w:t>
            </w:r>
          </w:p>
        </w:tc>
        <w:tc>
          <w:tcPr>
            <w:tcW w:type="dxa" w:w="6458"/>
            <w:shd w:fill="FFFFFF"/>
            <w:tcBorders>
              <w:top w:val="single" w:sz="4" w:color="CBD8D4"/>
              <w:left w:val="single" w:sz="4" w:color="CBD8D4"/>
              <w:bottom w:val="single" w:sz="4" w:color="CBD8D4"/>
              <w:right w:val="single" w:sz="4" w:color="CBD8D4"/>
              <w:insideH w:val="single" w:sz="4" w:color="CBD8D4"/>
              <w:insideV w:val="single" w:sz="4" w:color="CBD8D4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t>Confirm whether users may attach a statement. Web3Forms lists file attachments as a paid feature; its standard uploader supports one file up to 5 MB.</w:t>
            </w:r>
          </w:p>
        </w:tc>
      </w:tr>
      <w:tr>
        <w:trPr/>
        <w:tc>
          <w:tcPr>
            <w:tcW w:type="dxa" w:w="2902"/>
            <w:shd w:fill="F5F8F7"/>
            <w:tcBorders>
              <w:top w:val="single" w:sz="4" w:color="CBD8D4"/>
              <w:left w:val="single" w:sz="4" w:color="CBD8D4"/>
              <w:bottom w:val="single" w:sz="4" w:color="CBD8D4"/>
              <w:right w:val="single" w:sz="4" w:color="CBD8D4"/>
              <w:insideH w:val="single" w:sz="4" w:color="CBD8D4"/>
              <w:insideV w:val="single" w:sz="4" w:color="CBD8D4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073B2E"/>
              </w:rPr>
              <w:t>Production domains — recommended</w:t>
            </w:r>
          </w:p>
        </w:tc>
        <w:tc>
          <w:tcPr>
            <w:tcW w:type="dxa" w:w="6458"/>
            <w:shd w:fill="F5F8F7"/>
            <w:tcBorders>
              <w:top w:val="single" w:sz="4" w:color="CBD8D4"/>
              <w:left w:val="single" w:sz="4" w:color="CBD8D4"/>
              <w:bottom w:val="single" w:sz="4" w:color="CBD8D4"/>
              <w:right w:val="single" w:sz="4" w:color="CBD8D4"/>
              <w:insideH w:val="single" w:sz="4" w:color="CBD8D4"/>
              <w:insideV w:val="single" w:sz="4" w:color="CBD8D4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t>Confirm the approved domains, normally inflectioncm.com and www.inflectioncm.com. Web3Forms domain restriction is a paid feature and should be enabled only after local testing.</w:t>
            </w:r>
          </w:p>
        </w:tc>
      </w:tr>
      <w:tr>
        <w:trPr/>
        <w:tc>
          <w:tcPr>
            <w:tcW w:type="dxa" w:w="2902"/>
            <w:shd w:fill="FFFFFF"/>
            <w:tcBorders>
              <w:top w:val="single" w:sz="4" w:color="CBD8D4"/>
              <w:left w:val="single" w:sz="4" w:color="CBD8D4"/>
              <w:bottom w:val="single" w:sz="4" w:color="CBD8D4"/>
              <w:right w:val="single" w:sz="4" w:color="CBD8D4"/>
              <w:insideH w:val="single" w:sz="4" w:color="CBD8D4"/>
              <w:insideV w:val="single" w:sz="4" w:color="CBD8D4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073B2E"/>
              </w:rPr>
              <w:t>Spam protection — recommended</w:t>
            </w:r>
          </w:p>
        </w:tc>
        <w:tc>
          <w:tcPr>
            <w:tcW w:type="dxa" w:w="6458"/>
            <w:shd w:fill="FFFFFF"/>
            <w:tcBorders>
              <w:top w:val="single" w:sz="4" w:color="CBD8D4"/>
              <w:left w:val="single" w:sz="4" w:color="CBD8D4"/>
              <w:bottom w:val="single" w:sz="4" w:color="CBD8D4"/>
              <w:right w:val="single" w:sz="4" w:color="CBD8D4"/>
              <w:insideH w:val="single" w:sz="4" w:color="CBD8D4"/>
              <w:insideV w:val="single" w:sz="4" w:color="CBD8D4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t>Choose whether the existing hidden honeypot is sufficient or whether a CAPTCHA option should be added later.</w:t>
            </w:r>
          </w:p>
        </w:tc>
      </w:tr>
      <w:tr>
        <w:trPr/>
        <w:tc>
          <w:tcPr>
            <w:tcW w:type="dxa" w:w="2902"/>
            <w:shd w:fill="F5F8F7"/>
            <w:tcBorders>
              <w:top w:val="single" w:sz="4" w:color="CBD8D4"/>
              <w:left w:val="single" w:sz="4" w:color="CBD8D4"/>
              <w:bottom w:val="single" w:sz="4" w:color="CBD8D4"/>
              <w:right w:val="single" w:sz="4" w:color="CBD8D4"/>
              <w:insideH w:val="single" w:sz="4" w:color="CBD8D4"/>
              <w:insideV w:val="single" w:sz="4" w:color="CBD8D4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073B2E"/>
              </w:rPr>
              <w:t>Email preferences — optional</w:t>
            </w:r>
          </w:p>
        </w:tc>
        <w:tc>
          <w:tcPr>
            <w:tcW w:type="dxa" w:w="6458"/>
            <w:shd w:fill="F5F8F7"/>
            <w:tcBorders>
              <w:top w:val="single" w:sz="4" w:color="CBD8D4"/>
              <w:left w:val="single" w:sz="4" w:color="CBD8D4"/>
              <w:bottom w:val="single" w:sz="4" w:color="CBD8D4"/>
              <w:right w:val="single" w:sz="4" w:color="CBD8D4"/>
              <w:insideH w:val="single" w:sz="4" w:color="CBD8D4"/>
              <w:insideV w:val="single" w:sz="4" w:color="CBD8D4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t>Confirm the subject prefix, display name, reply-to behavior, CC recipients, and whether an automatic confirmation email is desired.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5F8F7"/>
            <w:tcBorders>
              <w:top w:val="single" w:sz="10" w:color="E88B61"/>
              <w:left w:val="single" w:sz="10" w:color="E88B61"/>
              <w:bottom w:val="single" w:sz="10" w:color="E88B61"/>
              <w:right w:val="single" w:sz="10" w:color="E88B61"/>
              <w:insideH w:val="single" w:sz="10" w:color="E88B61"/>
              <w:insideV w:val="single" w:sz="10" w:color="E88B61"/>
            </w:tcBorders>
            <w:vAlign w:val="center"/>
          </w:tcPr>
          <w:p>
            <w:pPr>
              <w:spacing w:after="60"/>
            </w:pPr>
            <w:r>
              <w:rPr>
                <w:b/>
                <w:color w:val="073B2E"/>
                <w:sz w:val="23"/>
              </w:rPr>
              <w:t>What is already in place</w:t>
            </w:r>
          </w:p>
          <w:p>
            <w:pPr>
              <w:spacing w:after="0" w:line="276" w:lineRule="auto"/>
            </w:pPr>
            <w:r>
              <w:t>The stock-planning page already prepares the plan data, sends it to the official Web3Forms submission endpoint, uses the visitor’s email for follow-up, includes a spam honeypot, and supports one optional attachment. Automatic sending is currently held behind a placeholder Access Key.</w:t>
            </w:r>
          </w:p>
        </w:tc>
      </w:tr>
    </w:tbl>
    <w:p>
      <w:pPr>
        <w:pStyle w:val="Heading1"/>
        <w:pageBreakBefore/>
        <w:pBdr>
          <w:bottom w:val="single" w:sz="8" w:space="5" w:color="79BFC0"/>
        </w:pBdr>
      </w:pPr>
      <w:r>
        <w:t>How to retrieve the required information</w:t>
      </w:r>
    </w:p>
    <w:p>
      <w:pPr>
        <w:spacing w:after="160"/>
      </w:pPr>
      <w:r>
        <w:t>Complete these steps in order. They do not require changing the website.</w:t>
      </w:r>
    </w:p>
    <w:p>
      <w:pPr>
        <w:pStyle w:val="ListNumber"/>
        <w:spacing w:after="80" w:line="288" w:lineRule="auto"/>
        <w:ind w:left="360" w:hanging="270"/>
      </w:pPr>
      <w:r>
        <w:rPr>
          <w:b/>
        </w:rPr>
        <w:t>Open the official Web3Forms site.</w:t>
      </w:r>
    </w:p>
    <w:p>
      <w:pPr>
        <w:spacing w:after="140"/>
        <w:ind w:left="360"/>
      </w:pPr>
      <w:r>
        <w:t>Go to web3forms.com and choose the option to create an Access Key.</w:t>
      </w:r>
    </w:p>
    <w:p>
      <w:pPr>
        <w:pStyle w:val="ListNumber"/>
        <w:spacing w:after="80" w:line="288" w:lineRule="auto"/>
        <w:ind w:left="360" w:hanging="270"/>
      </w:pPr>
      <w:r>
        <w:rPr>
          <w:b/>
        </w:rPr>
        <w:t>Use the final intake inbox.</w:t>
      </w:r>
    </w:p>
    <w:p>
      <w:pPr>
        <w:spacing w:after="140"/>
        <w:ind w:left="360"/>
      </w:pPr>
      <w:r>
        <w:t>Enter the email address that should receive completed stock plans. Use a monitored firm inbox rather than a personal address.</w:t>
      </w:r>
    </w:p>
    <w:p>
      <w:pPr>
        <w:pStyle w:val="ListNumber"/>
        <w:spacing w:after="80" w:line="288" w:lineRule="auto"/>
        <w:ind w:left="360" w:hanging="270"/>
      </w:pPr>
      <w:r>
        <w:rPr>
          <w:b/>
        </w:rPr>
        <w:t>Complete email verification.</w:t>
      </w:r>
    </w:p>
    <w:p>
      <w:pPr>
        <w:spacing w:after="140"/>
        <w:ind w:left="360"/>
      </w:pPr>
      <w:r>
        <w:t>Web3Forms sends the Access Key to that inbox. Follow any verification prompt and copy the key exactly.</w:t>
      </w:r>
    </w:p>
    <w:p>
      <w:pPr>
        <w:pStyle w:val="ListNumber"/>
        <w:spacing w:after="80" w:line="288" w:lineRule="auto"/>
        <w:ind w:left="360" w:hanging="270"/>
      </w:pPr>
      <w:r>
        <w:rPr>
          <w:b/>
        </w:rPr>
        <w:t>Confirm the plan and attachment feature.</w:t>
      </w:r>
    </w:p>
    <w:p>
      <w:pPr>
        <w:spacing w:after="140"/>
        <w:ind w:left="360"/>
      </w:pPr>
      <w:r>
        <w:t>If users may send statements, verify that the selected paid plan has File Attachments enabled. The standard upload path is one file up to 5 MB.</w:t>
      </w:r>
    </w:p>
    <w:p>
      <w:pPr>
        <w:pStyle w:val="ListNumber"/>
        <w:spacing w:after="80" w:line="288" w:lineRule="auto"/>
        <w:ind w:left="360" w:hanging="270"/>
      </w:pPr>
      <w:r>
        <w:rPr>
          <w:b/>
        </w:rPr>
        <w:t>Test before restricting the domain.</w:t>
      </w:r>
    </w:p>
    <w:p>
      <w:pPr>
        <w:spacing w:after="140"/>
        <w:ind w:left="360"/>
      </w:pPr>
      <w:r>
        <w:t>Keep domain restriction off while local testing is underway. After production testing succeeds, whitelist inflectioncm.com and www.inflectioncm.com without https://.</w:t>
      </w:r>
    </w:p>
    <w:p>
      <w:pPr>
        <w:pStyle w:val="ListNumber"/>
        <w:spacing w:after="80" w:line="288" w:lineRule="auto"/>
        <w:ind w:left="360" w:hanging="270"/>
      </w:pPr>
      <w:r>
        <w:rPr>
          <w:b/>
        </w:rPr>
        <w:t>Choose spam protection.</w:t>
      </w:r>
    </w:p>
    <w:p>
      <w:pPr>
        <w:spacing w:after="140"/>
        <w:ind w:left="360"/>
      </w:pPr>
      <w:r>
        <w:t>At minimum, retain the hidden honeypot. For stronger protection, choose a supported CAPTCHA method and provide only the public site key needed for the webpage; keep any secret key in the Web3Forms dashboard.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AF4F1"/>
            <w:tcBorders>
              <w:top w:val="single" w:sz="10" w:color="79BFC0"/>
              <w:left w:val="single" w:sz="10" w:color="79BFC0"/>
              <w:bottom w:val="single" w:sz="10" w:color="79BFC0"/>
              <w:right w:val="single" w:sz="10" w:color="79BFC0"/>
              <w:insideH w:val="single" w:sz="10" w:color="79BFC0"/>
              <w:insideV w:val="single" w:sz="10" w:color="79BFC0"/>
            </w:tcBorders>
            <w:vAlign w:val="center"/>
          </w:tcPr>
          <w:p>
            <w:pPr>
              <w:spacing w:after="60"/>
            </w:pPr>
            <w:r>
              <w:rPr>
                <w:b/>
                <w:color w:val="073B2E"/>
                <w:sz w:val="23"/>
              </w:rPr>
              <w:t>Important: Access Key versus password</w:t>
            </w:r>
          </w:p>
          <w:p>
            <w:pPr>
              <w:spacing w:after="0" w:line="276" w:lineRule="auto"/>
            </w:pPr>
            <w:r>
              <w:t>Web3Forms describes the Access Key as public and suitable for client-side use. It routes submissions to a particular inbox but does not grant account access. A login password, email password, or MFA code is never needed for this integration.</w:t>
            </w:r>
          </w:p>
        </w:tc>
      </w:tr>
    </w:tbl>
    <w:p>
      <w:pPr>
        <w:pStyle w:val="Heading2"/>
      </w:pPr>
      <w:r>
        <w:t>Where to find each setting</w:t>
      </w:r>
    </w:p>
    <w:p>
      <w:pPr>
        <w:pStyle w:val="ListBullet"/>
        <w:spacing w:after="80" w:line="288" w:lineRule="auto"/>
        <w:ind w:left="360" w:hanging="270"/>
      </w:pPr>
      <w:r>
        <w:rPr>
          <w:b/>
        </w:rPr>
        <w:t>Access Key:</w:t>
      </w:r>
      <w:r>
        <w:t xml:space="preserve"> create it from the Web3Forms home page; it is delivered to the receiving email.</w:t>
      </w:r>
    </w:p>
    <w:p>
      <w:pPr>
        <w:pStyle w:val="ListBullet"/>
        <w:spacing w:after="80" w:line="288" w:lineRule="auto"/>
        <w:ind w:left="360" w:hanging="270"/>
      </w:pPr>
      <w:r>
        <w:rPr>
          <w:b/>
        </w:rPr>
        <w:t>Form settings:</w:t>
      </w:r>
      <w:r>
        <w:t xml:space="preserve"> sign in to the Web3Forms dashboard, select the form/access key, then open Settings.</w:t>
      </w:r>
    </w:p>
    <w:p>
      <w:pPr>
        <w:pStyle w:val="ListBullet"/>
        <w:spacing w:after="80" w:line="288" w:lineRule="auto"/>
        <w:ind w:left="360" w:hanging="270"/>
      </w:pPr>
      <w:r>
        <w:rPr>
          <w:b/>
        </w:rPr>
        <w:t>Domain restriction:</w:t>
      </w:r>
      <w:r>
        <w:t xml:space="preserve"> in the selected form’s settings, add the allowed root domains separated by commas and omit https://.</w:t>
      </w:r>
    </w:p>
    <w:p>
      <w:pPr>
        <w:pStyle w:val="ListBullet"/>
        <w:spacing w:after="80" w:line="288" w:lineRule="auto"/>
        <w:ind w:left="360" w:hanging="270"/>
      </w:pPr>
      <w:r>
        <w:rPr>
          <w:b/>
        </w:rPr>
        <w:t>Paid features:</w:t>
      </w:r>
      <w:r>
        <w:t xml:space="preserve"> verify File Attachments, domain restriction, CAPTCHA, CC, and autoresponder availability before selecting them.</w:t>
      </w:r>
    </w:p>
    <w:p>
      <w:pPr>
        <w:pStyle w:val="Heading1"/>
        <w:pageBreakBefore/>
        <w:pBdr>
          <w:bottom w:val="single" w:sz="8" w:space="5" w:color="79BFC0"/>
        </w:pBdr>
      </w:pPr>
      <w:r>
        <w:t>Copy-and-send handoff checklist</w:t>
      </w:r>
    </w:p>
    <w:p>
      <w:pPr>
        <w:spacing w:after="160"/>
      </w:pPr>
      <w:r>
        <w:t>Paste the completed block below into this task. Bracketed values are placeholders.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03291F"/>
            <w:tcBorders>
              <w:top w:val="single" w:sz="8" w:color="79BFC0"/>
              <w:left w:val="single" w:sz="8" w:color="79BFC0"/>
              <w:bottom w:val="single" w:sz="8" w:color="79BFC0"/>
              <w:right w:val="single" w:sz="8" w:color="79BFC0"/>
              <w:insideH w:val="single" w:sz="8" w:color="79BFC0"/>
              <w:insideV w:val="single" w:sz="8" w:color="79BFC0"/>
            </w:tcBorders>
          </w:tcPr>
          <w:p>
            <w:pPr>
              <w:spacing w:after="60"/>
            </w:pPr>
            <w:r>
              <w:rPr>
                <w:rFonts w:ascii="Courier New" w:hAnsi="Courier New"/>
                <w:color w:val="FFFFFF"/>
                <w:sz w:val="19"/>
              </w:rPr>
              <w:t>Web3Forms Access Key: [paste key]</w:t>
            </w:r>
          </w:p>
          <w:p>
            <w:pPr>
              <w:spacing w:after="60"/>
            </w:pPr>
            <w:r>
              <w:rPr>
                <w:rFonts w:ascii="Courier New" w:hAnsi="Courier New"/>
                <w:color w:val="FFFFFF"/>
                <w:sz w:val="19"/>
              </w:rPr>
              <w:t>Receiving email: [example: ipo@inflectioncm.com]</w:t>
            </w:r>
          </w:p>
          <w:p>
            <w:pPr>
              <w:spacing w:after="60"/>
            </w:pPr>
            <w:r>
              <w:rPr>
                <w:rFonts w:ascii="Courier New" w:hAnsi="Courier New"/>
                <w:color w:val="FFFFFF"/>
                <w:sz w:val="19"/>
              </w:rPr>
              <w:t>Production domains: [inflectioncm.com, www.inflectioncm.com]</w:t>
            </w:r>
          </w:p>
          <w:p>
            <w:pPr>
              <w:spacing w:after="60"/>
            </w:pPr>
            <w:r>
              <w:rPr>
                <w:rFonts w:ascii="Courier New" w:hAnsi="Courier New"/>
                <w:color w:val="FFFFFF"/>
                <w:sz w:val="19"/>
              </w:rPr>
              <w:t>Accept statement attachment: [yes / no]</w:t>
            </w:r>
          </w:p>
          <w:p>
            <w:pPr>
              <w:spacing w:after="60"/>
            </w:pPr>
            <w:r>
              <w:rPr>
                <w:rFonts w:ascii="Courier New" w:hAnsi="Courier New"/>
                <w:color w:val="FFFFFF"/>
                <w:sz w:val="19"/>
              </w:rPr>
              <w:t>Paid plan / attachments enabled: [yes / no / plan name]</w:t>
            </w:r>
          </w:p>
          <w:p>
            <w:pPr>
              <w:spacing w:after="60"/>
            </w:pPr>
            <w:r>
              <w:rPr>
                <w:rFonts w:ascii="Courier New" w:hAnsi="Courier New"/>
                <w:color w:val="FFFFFF"/>
                <w:sz w:val="19"/>
              </w:rPr>
              <w:t>Maximum file size approved: [5 MB or lower]</w:t>
            </w:r>
          </w:p>
          <w:p>
            <w:pPr>
              <w:spacing w:after="60"/>
            </w:pPr>
            <w:r>
              <w:rPr>
                <w:rFonts w:ascii="Courier New" w:hAnsi="Courier New"/>
                <w:color w:val="FFFFFF"/>
                <w:sz w:val="19"/>
              </w:rPr>
              <w:t>Email subject prefix: [example: Inflection Plan]</w:t>
            </w:r>
          </w:p>
          <w:p>
            <w:pPr>
              <w:spacing w:after="60"/>
            </w:pPr>
            <w:r>
              <w:rPr>
                <w:rFonts w:ascii="Courier New" w:hAnsi="Courier New"/>
                <w:color w:val="FFFFFF"/>
                <w:sz w:val="19"/>
              </w:rPr>
              <w:t>Reply-to visitor email: [yes / no]</w:t>
            </w:r>
          </w:p>
          <w:p>
            <w:pPr>
              <w:spacing w:after="60"/>
            </w:pPr>
            <w:r>
              <w:rPr>
                <w:rFonts w:ascii="Courier New" w:hAnsi="Courier New"/>
                <w:color w:val="FFFFFF"/>
                <w:sz w:val="19"/>
              </w:rPr>
              <w:t>CC recipient, if any: [email or none]</w:t>
            </w:r>
          </w:p>
          <w:p>
            <w:pPr>
              <w:spacing w:after="60"/>
            </w:pPr>
            <w:r>
              <w:rPr>
                <w:rFonts w:ascii="Courier New" w:hAnsi="Courier New"/>
                <w:color w:val="FFFFFF"/>
                <w:sz w:val="19"/>
              </w:rPr>
              <w:t>Spam protection preference: [honeypot / CAPTCHA later]</w:t>
            </w:r>
          </w:p>
          <w:p>
            <w:pPr>
              <w:spacing w:after="60"/>
            </w:pPr>
            <w:r>
              <w:rPr>
                <w:rFonts w:ascii="Courier New" w:hAnsi="Courier New"/>
                <w:color w:val="FFFFFF"/>
                <w:sz w:val="19"/>
              </w:rPr>
              <w:t>Compliance approval for financial-document uploads: [yes / no]</w:t>
            </w:r>
          </w:p>
        </w:tc>
      </w:tr>
    </w:tbl>
    <w:p>
      <w:pPr>
        <w:pStyle w:val="Heading2"/>
      </w:pPr>
      <w:r>
        <w:t>Do not send</w:t>
      </w:r>
    </w:p>
    <w:p>
      <w:pPr>
        <w:pStyle w:val="ListBullet"/>
        <w:spacing w:after="80" w:line="288" w:lineRule="auto"/>
        <w:ind w:left="360" w:hanging="270"/>
      </w:pPr>
      <w:r>
        <w:t>Web3Forms login password</w:t>
      </w:r>
    </w:p>
    <w:p>
      <w:pPr>
        <w:pStyle w:val="ListBullet"/>
        <w:spacing w:after="80" w:line="288" w:lineRule="auto"/>
        <w:ind w:left="360" w:hanging="270"/>
      </w:pPr>
      <w:r>
        <w:t>Email inbox password</w:t>
      </w:r>
    </w:p>
    <w:p>
      <w:pPr>
        <w:pStyle w:val="ListBullet"/>
        <w:spacing w:after="80" w:line="288" w:lineRule="auto"/>
        <w:ind w:left="360" w:hanging="270"/>
      </w:pPr>
      <w:r>
        <w:t>MFA codes or recovery codes</w:t>
      </w:r>
    </w:p>
    <w:p>
      <w:pPr>
        <w:pStyle w:val="ListBullet"/>
        <w:spacing w:after="80" w:line="288" w:lineRule="auto"/>
        <w:ind w:left="360" w:hanging="270"/>
      </w:pPr>
      <w:r>
        <w:t>Cloudflare or Google CAPTCHA secret keys</w:t>
      </w:r>
    </w:p>
    <w:p>
      <w:pPr>
        <w:pStyle w:val="ListBullet"/>
        <w:spacing w:after="80" w:line="288" w:lineRule="auto"/>
        <w:ind w:left="360" w:hanging="270"/>
      </w:pPr>
      <w:r>
        <w:t>Any unrelated API credentials</w:t>
      </w:r>
    </w:p>
    <w:p>
      <w:pPr>
        <w:pStyle w:val="Heading2"/>
      </w:pPr>
      <w:r>
        <w:t>Before production activation</w:t>
      </w:r>
    </w:p>
    <w:p>
      <w:pPr>
        <w:pStyle w:val="ListBullet"/>
        <w:spacing w:after="80" w:line="288" w:lineRule="auto"/>
        <w:ind w:left="360" w:hanging="270"/>
      </w:pPr>
      <w:r>
        <w:t>Submit one test using only fictitious, non-sensitive information.</w:t>
      </w:r>
    </w:p>
    <w:p>
      <w:pPr>
        <w:pStyle w:val="ListBullet"/>
        <w:spacing w:after="80" w:line="288" w:lineRule="auto"/>
        <w:ind w:left="360" w:hanging="270"/>
      </w:pPr>
      <w:r>
        <w:t>Confirm the email reaches the intended inbox and that Reply works to the visitor’s address.</w:t>
      </w:r>
    </w:p>
    <w:p>
      <w:pPr>
        <w:pStyle w:val="ListBullet"/>
        <w:spacing w:after="80" w:line="288" w:lineRule="auto"/>
        <w:ind w:left="360" w:hanging="270"/>
      </w:pPr>
      <w:r>
        <w:t>Confirm the subject line makes the submission easy to identify and route.</w:t>
      </w:r>
    </w:p>
    <w:p>
      <w:pPr>
        <w:pStyle w:val="ListBullet"/>
        <w:spacing w:after="80" w:line="288" w:lineRule="auto"/>
        <w:ind w:left="360" w:hanging="270"/>
      </w:pPr>
      <w:r>
        <w:t>Test the failure message and existing email fallback.</w:t>
      </w:r>
    </w:p>
    <w:p>
      <w:pPr>
        <w:pStyle w:val="ListBullet"/>
        <w:spacing w:after="80" w:line="288" w:lineRule="auto"/>
        <w:ind w:left="360" w:hanging="270"/>
      </w:pPr>
      <w:r>
        <w:t>If attachments are enabled, test a small PDF and a file near the approved size limit.</w:t>
      </w:r>
    </w:p>
    <w:p>
      <w:pPr>
        <w:pStyle w:val="ListBullet"/>
        <w:spacing w:after="80" w:line="288" w:lineRule="auto"/>
        <w:ind w:left="360" w:hanging="270"/>
      </w:pPr>
      <w:r>
        <w:t>After testing, enable domain restriction and test again on the production URL.</w:t>
      </w:r>
    </w:p>
    <w:p>
      <w:pPr>
        <w:pStyle w:val="ListBullet"/>
        <w:spacing w:after="80" w:line="288" w:lineRule="auto"/>
        <w:ind w:left="360" w:hanging="270"/>
      </w:pPr>
      <w:r>
        <w:t>Record the intake owner and the expected response workflow inside the firm.</w:t>
      </w:r>
    </w:p>
    <w:p>
      <w:pPr>
        <w:pStyle w:val="Heading1"/>
        <w:pageBreakBefore/>
        <w:pBdr>
          <w:bottom w:val="single" w:sz="8" w:space="5" w:color="79BFC0"/>
        </w:pBdr>
      </w:pPr>
      <w:r>
        <w:t>Data-handling review for statement uploads</w:t>
      </w:r>
    </w:p>
    <w:p>
      <w:pPr>
        <w:spacing w:after="160"/>
      </w:pPr>
      <w:r>
        <w:t>A concentrated-stock statement can contain sensitive personal and financial information. This is an operational recommendation, not a claim about legal sufficiency: obtain the firm’s compliance/privacy approval before accepting documents through a third-party form service.</w:t>
      </w:r>
    </w:p>
    <w:p>
      <w:pPr>
        <w:spacing w:after="100"/>
      </w:pPr>
      <w:r>
        <w:rPr>
          <w:b/>
          <w:color w:val="073B2E"/>
        </w:rPr>
        <w:t xml:space="preserve">Confirm data scope. </w:t>
      </w:r>
      <w:r>
        <w:t>Collect only what the advisory team needs. Avoid requesting account passwords, full Social Security numbers, or unnecessary identity documents.</w:t>
      </w:r>
    </w:p>
    <w:p>
      <w:pPr>
        <w:spacing w:after="100"/>
      </w:pPr>
      <w:r>
        <w:rPr>
          <w:b/>
          <w:color w:val="073B2E"/>
        </w:rPr>
        <w:t xml:space="preserve">Confirm vendor posture. </w:t>
      </w:r>
      <w:r>
        <w:t>Web3Forms states that it processes and forwards submissions rather than storing form submissions, but its FAQ also notes that server logs can contain personal information and are deleted periodically; it identifies its servers as US East.</w:t>
      </w:r>
    </w:p>
    <w:p>
      <w:pPr>
        <w:spacing w:after="100"/>
      </w:pPr>
      <w:r>
        <w:rPr>
          <w:b/>
          <w:color w:val="073B2E"/>
        </w:rPr>
        <w:t xml:space="preserve">Confirm inbox controls. </w:t>
      </w:r>
      <w:r>
        <w:t>Use a monitored firm inbox with access controls, retention rules, and a documented internal owner.</w:t>
      </w:r>
    </w:p>
    <w:p>
      <w:pPr>
        <w:spacing w:after="100"/>
      </w:pPr>
      <w:r>
        <w:rPr>
          <w:b/>
          <w:color w:val="073B2E"/>
        </w:rPr>
        <w:t xml:space="preserve">Keep an alternate path. </w:t>
      </w:r>
      <w:r>
        <w:t>Retain the existing email fallback until automatic intake has been tested successfully in production.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3ED"/>
            <w:tcBorders>
              <w:top w:val="single" w:sz="10" w:color="E88B61"/>
              <w:left w:val="single" w:sz="10" w:color="E88B61"/>
              <w:bottom w:val="single" w:sz="10" w:color="E88B61"/>
              <w:right w:val="single" w:sz="10" w:color="E88B61"/>
              <w:insideH w:val="single" w:sz="10" w:color="E88B61"/>
              <w:insideV w:val="single" w:sz="10" w:color="E88B61"/>
            </w:tcBorders>
            <w:vAlign w:val="center"/>
          </w:tcPr>
          <w:p>
            <w:pPr>
              <w:spacing w:after="60"/>
            </w:pPr>
            <w:r>
              <w:rPr>
                <w:b/>
                <w:color w:val="073B2E"/>
                <w:sz w:val="23"/>
              </w:rPr>
              <w:t>Recommended approval gate</w:t>
            </w:r>
          </w:p>
          <w:p>
            <w:pPr>
              <w:spacing w:after="0" w:line="276" w:lineRule="auto"/>
            </w:pPr>
            <w:r>
              <w:t>Do not enable statement attachments until the firm approves Web3Forms for this category of information and confirms the receiving inbox, retention process, and escalation owner.</w:t>
            </w:r>
          </w:p>
        </w:tc>
      </w:tr>
    </w:tbl>
    <w:p>
      <w:pPr>
        <w:pStyle w:val="Heading2"/>
      </w:pPr>
      <w:r>
        <w:t>Official references</w:t>
      </w:r>
    </w:p>
    <w:p>
      <w:pPr>
        <w:pStyle w:val="SourceNote"/>
      </w:pPr>
      <w:hyperlink r:id="rId11">
        <w:r>
          <w:rPr>
            <w:color w:val="073B2E"/>
            <w:u w:val="single"/>
          </w:rPr>
          <w:t>Installation and Access Key</w:t>
        </w:r>
      </w:hyperlink>
      <w:r>
        <w:t xml:space="preserve"> — How the key is created and delivered; confirms the access key may be public.</w:t>
      </w:r>
    </w:p>
    <w:p>
      <w:pPr>
        <w:pStyle w:val="SourceNote"/>
      </w:pPr>
      <w:hyperlink r:id="rId12">
        <w:r>
          <w:rPr>
            <w:color w:val="073B2E"/>
            <w:u w:val="single"/>
          </w:rPr>
          <w:t>API Reference</w:t>
        </w:r>
      </w:hyperlink>
      <w:r>
        <w:t xml:space="preserve"> — Required access_key field and optional email, subject, reply-to, botcheck, and attachment fields.</w:t>
      </w:r>
    </w:p>
    <w:p>
      <w:pPr>
        <w:pStyle w:val="SourceNote"/>
      </w:pPr>
      <w:hyperlink r:id="rId13">
        <w:r>
          <w:rPr>
            <w:color w:val="073B2E"/>
            <w:u w:val="single"/>
          </w:rPr>
          <w:t>File Attachments</w:t>
        </w:r>
      </w:hyperlink>
      <w:r>
        <w:t xml:space="preserve"> — Paid attachment feature; standard uploader supports one file up to 5 MB.</w:t>
      </w:r>
    </w:p>
    <w:p>
      <w:pPr>
        <w:pStyle w:val="SourceNote"/>
      </w:pPr>
      <w:hyperlink r:id="rId14">
        <w:r>
          <w:rPr>
            <w:color w:val="073B2E"/>
            <w:u w:val="single"/>
          </w:rPr>
          <w:t>Restrict to Domain</w:t>
        </w:r>
      </w:hyperlink>
      <w:r>
        <w:t xml:space="preserve"> — Paid domain whitelist; enable only after local testing.</w:t>
      </w:r>
    </w:p>
    <w:p>
      <w:pPr>
        <w:pStyle w:val="SourceNote"/>
      </w:pPr>
      <w:hyperlink r:id="rId15">
        <w:r>
          <w:rPr>
            <w:color w:val="073B2E"/>
            <w:u w:val="single"/>
          </w:rPr>
          <w:t>FAQ: Access Keys, spam, and privacy</w:t>
        </w:r>
      </w:hyperlink>
      <w:r>
        <w:t xml:space="preserve"> — Public-key explanation, spam options, processing/retention statement, and server location.</w:t>
      </w:r>
    </w:p>
    <w:p>
      <w:pPr>
        <w:pStyle w:val="SourceNote"/>
        <w:spacing w:before="120"/>
      </w:pPr>
      <w:r>
        <w:rPr>
          <w:i/>
        </w:rPr>
        <w:t>Sources reviewed July 20, 2026. Product features and pricing can change; recheck the official Web3Forms documentation before activation.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C67"/>
        <w:sz w:val="16"/>
      </w:rPr>
      <w:t xml:space="preserve">WEB3FORMS INTAKE GUIDE  |  </w:t>
    </w:r>
    <w:r>
      <w:rPr>
        <w:rFonts w:ascii="Calibri" w:hAnsi="Calibri"/>
        <w:color w:val="5E6C67"/>
        <w:sz w:val="16"/>
      </w:rPr>
      <w:t xml:space="preserve">Page </w:t>
    </w:r>
    <w:r>
      <w:rPr>
        <w:rFonts w:ascii="Calibri" w:hAnsi="Calibri"/>
        <w:color w:val="5E6C67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5" w:color="CBD8D4"/>
      </w:pBdr>
    </w:pPr>
    <w:r>
      <w:rPr>
        <w:rFonts w:ascii="Calibri" w:hAnsi="Calibri"/>
        <w:b/>
        <w:color w:val="5E6C67"/>
        <w:sz w:val="16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color w:val="2433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73B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73B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73B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73B2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Calibri" w:hAnsi="Calibri"/>
      <w:i/>
      <w:iCs/>
      <w:color w:val="5E6C67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2433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2433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after="80" w:line="252" w:lineRule="auto"/>
    </w:pPr>
    <w:rPr>
      <w:rFonts w:ascii="Calibri" w:hAnsi="Calibri"/>
      <w:color w:val="5E6C6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web3forms.com/getting-started/installation" TargetMode="External"/><Relationship Id="rId12" Type="http://schemas.openxmlformats.org/officeDocument/2006/relationships/hyperlink" Target="https://docs.web3forms.com/getting-started/api-reference" TargetMode="External"/><Relationship Id="rId13" Type="http://schemas.openxmlformats.org/officeDocument/2006/relationships/hyperlink" Target="https://docs.web3forms.com/getting-started/pro-features/file-attachments" TargetMode="External"/><Relationship Id="rId14" Type="http://schemas.openxmlformats.org/officeDocument/2006/relationships/hyperlink" Target="https://docs.web3forms.com/getting-started/pro-features/restrict-to-domain" TargetMode="External"/><Relationship Id="rId15" Type="http://schemas.openxmlformats.org/officeDocument/2006/relationships/hyperlink" Target="https://docs.web3forms.com/getting-started/fa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Web3Forms Intake Setup Guide</dc:title>
  <dc:subject>Information needed to connect the Inflection stock-planning page to Web3Forms</dc:subject>
  <dc:creator>Inflection Capital Management</dc:creator>
  <cp:keywords>Web3Forms, intake, concentrated stock, implementation checklist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