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CD29" w14:textId="77777777" w:rsidR="00BB2515" w:rsidRDefault="00BB2515" w:rsidP="007A6EE0">
      <w:pPr>
        <w:rPr>
          <w:b/>
          <w:bCs/>
          <w:lang w:val="en-US"/>
        </w:rPr>
      </w:pPr>
    </w:p>
    <w:p w14:paraId="05E469F0" w14:textId="3EA54B3D" w:rsidR="00BB2515" w:rsidRDefault="00BB2515" w:rsidP="00BB2515">
      <w:pPr>
        <w:rPr>
          <w:b/>
          <w:bCs/>
          <w:lang w:val="en-US"/>
        </w:rPr>
      </w:pPr>
      <w:r>
        <w:rPr>
          <w:b/>
          <w:bCs/>
          <w:lang w:val="en-US"/>
        </w:rPr>
        <w:t xml:space="preserve">Abstract for the </w:t>
      </w:r>
      <w:proofErr w:type="spellStart"/>
      <w:r>
        <w:rPr>
          <w:b/>
          <w:bCs/>
          <w:lang w:val="en-US"/>
        </w:rPr>
        <w:t>StanCon</w:t>
      </w:r>
      <w:proofErr w:type="spellEnd"/>
      <w:r>
        <w:rPr>
          <w:b/>
          <w:bCs/>
          <w:lang w:val="en-US"/>
        </w:rPr>
        <w:t xml:space="preserve">: </w:t>
      </w:r>
      <w:r w:rsidRPr="00BB2515">
        <w:rPr>
          <w:lang w:val="en-US"/>
        </w:rPr>
        <w:t>https://www.stancon2026.org/</w:t>
      </w:r>
    </w:p>
    <w:p w14:paraId="16A70A7B" w14:textId="612FF9BB" w:rsidR="005C4513" w:rsidRDefault="005C4513" w:rsidP="00BB2515">
      <w:pPr>
        <w:rPr>
          <w:lang w:val="en-US"/>
        </w:rPr>
      </w:pPr>
      <w:r>
        <w:rPr>
          <w:lang w:val="en-US"/>
        </w:rPr>
        <w:t>Word count: 3</w:t>
      </w:r>
      <w:r w:rsidR="00D05892">
        <w:rPr>
          <w:lang w:val="en-US"/>
        </w:rPr>
        <w:t>31</w:t>
      </w:r>
      <w:r>
        <w:rPr>
          <w:lang w:val="en-US"/>
        </w:rPr>
        <w:t xml:space="preserve"> words (limit: 350 words)</w:t>
      </w:r>
    </w:p>
    <w:p w14:paraId="29956A21" w14:textId="77777777" w:rsidR="00BB2515" w:rsidRPr="00BB2515" w:rsidRDefault="00BB2515" w:rsidP="00BB2515">
      <w:pPr>
        <w:rPr>
          <w:lang w:val="en-US"/>
        </w:rPr>
      </w:pPr>
    </w:p>
    <w:p w14:paraId="5979AB11" w14:textId="26C0C76C" w:rsidR="00BB2515" w:rsidRPr="00BB2515" w:rsidRDefault="00BB2515" w:rsidP="00BB2515">
      <w:pPr>
        <w:rPr>
          <w:b/>
          <w:bCs/>
          <w:lang w:val="en-US"/>
        </w:rPr>
      </w:pPr>
      <w:r w:rsidRPr="00BB2515">
        <w:rPr>
          <w:b/>
          <w:bCs/>
          <w:lang w:val="en-US"/>
        </w:rPr>
        <w:t>Disentangling Demographic Change from Fertility Decline in Switzerland</w:t>
      </w:r>
    </w:p>
    <w:p w14:paraId="2BA4967A" w14:textId="5289CB8D" w:rsidR="00BB2515" w:rsidRPr="00BB2515" w:rsidRDefault="00BB2515" w:rsidP="00BB2515">
      <w:pPr>
        <w:rPr>
          <w:lang w:val="de-CH"/>
        </w:rPr>
      </w:pPr>
      <w:r w:rsidRPr="00BB2515">
        <w:rPr>
          <w:b/>
          <w:bCs/>
          <w:lang w:val="de-CH"/>
        </w:rPr>
        <w:t>Anthony Hauser</w:t>
      </w:r>
      <w:r>
        <w:rPr>
          <w:b/>
          <w:bCs/>
          <w:lang w:val="de-CH"/>
        </w:rPr>
        <w:t xml:space="preserve"> </w:t>
      </w:r>
      <w:r w:rsidRPr="00BB2515">
        <w:rPr>
          <w:lang w:val="de-CH"/>
        </w:rPr>
        <w:t>1, 2, Julien Riou</w:t>
      </w:r>
      <w:r>
        <w:rPr>
          <w:lang w:val="de-CH"/>
        </w:rPr>
        <w:t xml:space="preserve"> </w:t>
      </w:r>
      <w:r w:rsidRPr="00BB2515">
        <w:rPr>
          <w:lang w:val="de-CH"/>
        </w:rPr>
        <w:t>1, Kaspar Staub</w:t>
      </w:r>
      <w:r>
        <w:rPr>
          <w:lang w:val="de-CH"/>
        </w:rPr>
        <w:t xml:space="preserve"> </w:t>
      </w:r>
      <w:r w:rsidRPr="00BB2515">
        <w:rPr>
          <w:lang w:val="de-CH"/>
        </w:rPr>
        <w:t>2</w:t>
      </w:r>
    </w:p>
    <w:p w14:paraId="642D7DFD" w14:textId="77777777" w:rsidR="00BB2515" w:rsidRPr="00BB2515" w:rsidRDefault="00BB2515" w:rsidP="00BB2515">
      <w:pPr>
        <w:rPr>
          <w:lang w:val="en-US"/>
        </w:rPr>
      </w:pPr>
      <w:r w:rsidRPr="00BB2515">
        <w:rPr>
          <w:lang w:val="en-US"/>
        </w:rPr>
        <w:t>1 Center for Primary Care and Public Health (</w:t>
      </w:r>
      <w:proofErr w:type="spellStart"/>
      <w:r w:rsidRPr="00BB2515">
        <w:rPr>
          <w:lang w:val="en-US"/>
        </w:rPr>
        <w:t>Unisanté</w:t>
      </w:r>
      <w:proofErr w:type="spellEnd"/>
      <w:r w:rsidRPr="00BB2515">
        <w:rPr>
          <w:lang w:val="en-US"/>
        </w:rPr>
        <w:t>), University of Lausanne, Lausanne, Switzerland</w:t>
      </w:r>
    </w:p>
    <w:p w14:paraId="622E1C08" w14:textId="3D4F2DE0" w:rsidR="00BB2515" w:rsidRPr="00BB2515" w:rsidRDefault="00BB2515" w:rsidP="00BB2515">
      <w:pPr>
        <w:rPr>
          <w:lang w:val="de-CH"/>
        </w:rPr>
      </w:pPr>
      <w:r w:rsidRPr="00BB2515">
        <w:rPr>
          <w:lang w:val="de-CH"/>
        </w:rPr>
        <w:t xml:space="preserve">2 University </w:t>
      </w:r>
      <w:proofErr w:type="spellStart"/>
      <w:r w:rsidRPr="00BB2515">
        <w:rPr>
          <w:lang w:val="de-CH"/>
        </w:rPr>
        <w:t>of</w:t>
      </w:r>
      <w:proofErr w:type="spellEnd"/>
      <w:r w:rsidRPr="00BB2515">
        <w:rPr>
          <w:lang w:val="de-CH"/>
        </w:rPr>
        <w:t xml:space="preserve"> </w:t>
      </w:r>
      <w:proofErr w:type="spellStart"/>
      <w:r w:rsidRPr="00BB2515">
        <w:rPr>
          <w:lang w:val="de-CH"/>
        </w:rPr>
        <w:t>Zurich</w:t>
      </w:r>
      <w:proofErr w:type="spellEnd"/>
      <w:r w:rsidRPr="00BB2515">
        <w:rPr>
          <w:lang w:val="de-CH"/>
        </w:rPr>
        <w:t xml:space="preserve">, Zürich, </w:t>
      </w:r>
      <w:proofErr w:type="spellStart"/>
      <w:r w:rsidRPr="00BB2515">
        <w:rPr>
          <w:lang w:val="de-CH"/>
        </w:rPr>
        <w:t>Switzerland</w:t>
      </w:r>
      <w:proofErr w:type="spellEnd"/>
    </w:p>
    <w:p w14:paraId="21BB731D" w14:textId="30F8D258" w:rsidR="007A6EE0" w:rsidRPr="007A6EE0" w:rsidRDefault="007A6EE0" w:rsidP="00BB2515">
      <w:pPr>
        <w:rPr>
          <w:lang w:val="en-US"/>
        </w:rPr>
      </w:pPr>
      <w:r w:rsidRPr="007A6EE0">
        <w:rPr>
          <w:b/>
          <w:bCs/>
          <w:lang w:val="en-US"/>
        </w:rPr>
        <w:t>Introduction:</w:t>
      </w:r>
      <w:r w:rsidRPr="007A6EE0">
        <w:rPr>
          <w:b/>
          <w:bCs/>
          <w:lang w:val="en-US"/>
        </w:rPr>
        <w:br/>
      </w:r>
      <w:r w:rsidRPr="007A6EE0">
        <w:rPr>
          <w:lang w:val="en-US"/>
        </w:rPr>
        <w:t xml:space="preserve">Switzerland has experienced a sustained decline in birth rates in recent years. </w:t>
      </w:r>
      <w:r w:rsidR="00490E90" w:rsidRPr="00490E90">
        <w:rPr>
          <w:lang w:val="en-US"/>
        </w:rPr>
        <w:t>Changes in births may reflect shifts in the population age distribution and delayed childbearing, or deeper socio-demographic transformations</w:t>
      </w:r>
      <w:r w:rsidR="00490E90">
        <w:rPr>
          <w:lang w:val="en-US"/>
        </w:rPr>
        <w:t xml:space="preserve">. </w:t>
      </w:r>
      <w:r w:rsidRPr="007A6EE0">
        <w:rPr>
          <w:lang w:val="en-US"/>
        </w:rPr>
        <w:t>To disentangle these mechanisms, we quantify the birth deficit over time while adjusting for the age distribution of women aged 15–50 and shifts in maternal age. We then examine temporal and geographical variation to explore underlying drivers.</w:t>
      </w:r>
    </w:p>
    <w:p w14:paraId="2F3BE7B1" w14:textId="33DCD4AB" w:rsidR="007A6EE0" w:rsidRPr="007A6EE0" w:rsidRDefault="007A6EE0" w:rsidP="007A6EE0">
      <w:pPr>
        <w:rPr>
          <w:lang w:val="en-US"/>
        </w:rPr>
      </w:pPr>
      <w:r w:rsidRPr="007A6EE0">
        <w:rPr>
          <w:b/>
          <w:bCs/>
          <w:lang w:val="en-US"/>
        </w:rPr>
        <w:t>Methods: </w:t>
      </w:r>
      <w:r w:rsidRPr="007A6EE0">
        <w:rPr>
          <w:b/>
          <w:bCs/>
          <w:lang w:val="en-US"/>
        </w:rPr>
        <w:br/>
      </w:r>
      <w:r w:rsidRPr="007A6EE0">
        <w:rPr>
          <w:lang w:val="en-US"/>
        </w:rPr>
        <w:t xml:space="preserve">We </w:t>
      </w:r>
      <w:proofErr w:type="spellStart"/>
      <w:r w:rsidRPr="007A6EE0">
        <w:rPr>
          <w:lang w:val="en-US"/>
        </w:rPr>
        <w:t>analysed</w:t>
      </w:r>
      <w:proofErr w:type="spellEnd"/>
      <w:r w:rsidRPr="007A6EE0">
        <w:rPr>
          <w:lang w:val="en-US"/>
        </w:rPr>
        <w:t xml:space="preserve"> Swiss birth data from 2000 to 2024 aggregated by calendar year, month, and maternal age, yielding 10,800 strata. Population counts were included as an offset. Birth counts were modelled</w:t>
      </w:r>
      <w:r w:rsidR="00490E90">
        <w:rPr>
          <w:lang w:val="en-US"/>
        </w:rPr>
        <w:t xml:space="preserve"> in Stan</w:t>
      </w:r>
      <w:r w:rsidRPr="007A6EE0">
        <w:rPr>
          <w:lang w:val="en-US"/>
        </w:rPr>
        <w:t xml:space="preserve"> using a negative binomial distribution with a single overdispersion parameter. Age-specific fertility was modelled using a Gaussian Process. To capture delayed childbearing, we introduced a calendar-year-specific age shift that translates the fertility curve over time, also modelled using a Gaussian Process. </w:t>
      </w:r>
      <w:r w:rsidR="00BB2515" w:rsidRPr="00BB2515">
        <w:rPr>
          <w:lang w:val="en-US"/>
        </w:rPr>
        <w:t>The continuous evaluation of the fertility curve, imposed by the age-shift parameter, was enabled by the Hilbert Space Gaussian Process approximation</w:t>
      </w:r>
      <w:r w:rsidR="00BB2515">
        <w:rPr>
          <w:lang w:val="en-US"/>
        </w:rPr>
        <w:t xml:space="preserve">. </w:t>
      </w:r>
      <w:r w:rsidRPr="007A6EE0">
        <w:rPr>
          <w:lang w:val="en-US"/>
        </w:rPr>
        <w:t xml:space="preserve">Calendar month was included as a fixed effect. </w:t>
      </w:r>
      <w:r w:rsidR="00490E90" w:rsidRPr="00490E90">
        <w:rPr>
          <w:lang w:val="en-US"/>
        </w:rPr>
        <w:t>Posterior predicted</w:t>
      </w:r>
      <w:r w:rsidR="00490E90" w:rsidRPr="00490E90">
        <w:rPr>
          <w:lang w:val="en-US"/>
        </w:rPr>
        <w:t xml:space="preserve"> </w:t>
      </w:r>
      <w:r w:rsidRPr="007A6EE0">
        <w:rPr>
          <w:lang w:val="en-US"/>
        </w:rPr>
        <w:t>births were compared with observed births to quantify excess or deficit births</w:t>
      </w:r>
      <w:r w:rsidR="00490E90">
        <w:rPr>
          <w:lang w:val="en-US"/>
        </w:rPr>
        <w:t>.</w:t>
      </w:r>
      <w:r w:rsidR="00490E90" w:rsidRPr="00490E90">
        <w:rPr>
          <w:lang w:val="en-US"/>
        </w:rPr>
        <w:t xml:space="preserve"> </w:t>
      </w:r>
      <w:r w:rsidR="00490E90">
        <w:rPr>
          <w:lang w:val="en-US"/>
        </w:rPr>
        <w:t>District-level</w:t>
      </w:r>
      <w:r w:rsidR="00490E90" w:rsidRPr="00490E90">
        <w:rPr>
          <w:lang w:val="en-US"/>
        </w:rPr>
        <w:t xml:space="preserve"> predictions</w:t>
      </w:r>
      <w:r w:rsidR="00490E90" w:rsidRPr="00490E90">
        <w:rPr>
          <w:lang w:val="en-US"/>
        </w:rPr>
        <w:t xml:space="preserve"> </w:t>
      </w:r>
      <w:r w:rsidRPr="007A6EE0">
        <w:rPr>
          <w:lang w:val="en-US"/>
        </w:rPr>
        <w:t xml:space="preserve">were obtained by </w:t>
      </w:r>
      <w:r w:rsidR="005C4513">
        <w:rPr>
          <w:lang w:val="en-US"/>
        </w:rPr>
        <w:t>distributing</w:t>
      </w:r>
      <w:r w:rsidRPr="007A6EE0">
        <w:rPr>
          <w:lang w:val="en-US"/>
        </w:rPr>
        <w:t xml:space="preserve"> national </w:t>
      </w:r>
      <w:r w:rsidR="00490E90">
        <w:rPr>
          <w:lang w:val="en-US"/>
        </w:rPr>
        <w:t xml:space="preserve">posterior predicted </w:t>
      </w:r>
      <w:r w:rsidRPr="007A6EE0">
        <w:rPr>
          <w:lang w:val="en-US"/>
        </w:rPr>
        <w:t>births across regions using a multinomial distribution.</w:t>
      </w:r>
    </w:p>
    <w:p w14:paraId="28344812" w14:textId="3462EB1E" w:rsidR="007A6EE0" w:rsidRPr="007A6EE0" w:rsidRDefault="007A6EE0" w:rsidP="007A6EE0">
      <w:pPr>
        <w:rPr>
          <w:lang w:val="en-US"/>
        </w:rPr>
      </w:pPr>
      <w:r w:rsidRPr="007A6EE0">
        <w:rPr>
          <w:b/>
          <w:bCs/>
          <w:lang w:val="en-US"/>
        </w:rPr>
        <w:t>Results:</w:t>
      </w:r>
      <w:r w:rsidRPr="007A6EE0">
        <w:rPr>
          <w:b/>
          <w:bCs/>
          <w:lang w:val="en-US"/>
        </w:rPr>
        <w:br/>
      </w:r>
      <w:r w:rsidRPr="007A6EE0">
        <w:rPr>
          <w:lang w:val="en-US"/>
        </w:rPr>
        <w:t xml:space="preserve">The model </w:t>
      </w:r>
      <w:r w:rsidR="00BB2515">
        <w:rPr>
          <w:lang w:val="en-US"/>
        </w:rPr>
        <w:t>infers</w:t>
      </w:r>
      <w:r w:rsidRPr="007A6EE0">
        <w:rPr>
          <w:lang w:val="en-US"/>
        </w:rPr>
        <w:t xml:space="preserve"> the age-specific fertility curve and </w:t>
      </w:r>
      <w:r w:rsidR="00BB2515">
        <w:rPr>
          <w:lang w:val="en-US"/>
        </w:rPr>
        <w:t>its</w:t>
      </w:r>
      <w:r w:rsidRPr="007A6EE0">
        <w:rPr>
          <w:lang w:val="en-US"/>
        </w:rPr>
        <w:t xml:space="preserve"> progressive shift toward higher ages, with peak fertility moving from below 30 years in 2000 to above 32 in 2024. Except for a temporary increase in 2021, </w:t>
      </w:r>
      <w:r w:rsidR="002614B0">
        <w:rPr>
          <w:lang w:val="en-US"/>
        </w:rPr>
        <w:t>births decreased steadily</w:t>
      </w:r>
      <w:r w:rsidRPr="007A6EE0">
        <w:rPr>
          <w:lang w:val="en-US"/>
        </w:rPr>
        <w:t xml:space="preserve"> from 2017 onward, reaching</w:t>
      </w:r>
      <w:r w:rsidR="00BB2515">
        <w:rPr>
          <w:lang w:val="en-US"/>
        </w:rPr>
        <w:t xml:space="preserve"> -</w:t>
      </w:r>
      <w:r w:rsidRPr="007A6EE0">
        <w:rPr>
          <w:lang w:val="en-US"/>
        </w:rPr>
        <w:t>11% in 2024. The deficit is more pronounced in districts belonging to large urban agglomerations</w:t>
      </w:r>
      <w:r w:rsidRPr="007A6EE0">
        <w:rPr>
          <w:lang w:val="en-US"/>
        </w:rPr>
        <w:t xml:space="preserve"> </w:t>
      </w:r>
      <w:r w:rsidRPr="007A6EE0">
        <w:rPr>
          <w:lang w:val="en-US"/>
        </w:rPr>
        <w:t>(</w:t>
      </w:r>
      <w:r w:rsidR="00BB2515">
        <w:rPr>
          <w:lang w:val="en-US"/>
        </w:rPr>
        <w:t>-</w:t>
      </w:r>
      <w:r w:rsidRPr="007A6EE0">
        <w:rPr>
          <w:lang w:val="en-US"/>
        </w:rPr>
        <w:t>20% in 2024) and among Swiss residents (</w:t>
      </w:r>
      <w:r w:rsidR="00BB2515">
        <w:rPr>
          <w:lang w:val="en-US"/>
        </w:rPr>
        <w:t>-</w:t>
      </w:r>
      <w:r w:rsidRPr="007A6EE0">
        <w:rPr>
          <w:lang w:val="en-US"/>
        </w:rPr>
        <w:t xml:space="preserve">18% in 2024). Monthly estimates in 2021 show two phases of excess births occurring slightly more than nine months after major COVID-19 waves, </w:t>
      </w:r>
      <w:r w:rsidR="002614B0">
        <w:rPr>
          <w:lang w:val="en-US"/>
        </w:rPr>
        <w:t>indicating</w:t>
      </w:r>
      <w:r w:rsidRPr="007A6EE0">
        <w:rPr>
          <w:lang w:val="en-US"/>
        </w:rPr>
        <w:t xml:space="preserve"> a pandemic-related effect.</w:t>
      </w:r>
    </w:p>
    <w:p w14:paraId="78BD9B0D" w14:textId="40489097" w:rsidR="007A6EE0" w:rsidRPr="007A6EE0" w:rsidRDefault="007A6EE0" w:rsidP="007A6EE0">
      <w:pPr>
        <w:rPr>
          <w:lang w:val="en-US"/>
        </w:rPr>
      </w:pPr>
      <w:r w:rsidRPr="007A6EE0">
        <w:rPr>
          <w:b/>
          <w:bCs/>
          <w:lang w:val="en-US"/>
        </w:rPr>
        <w:t>Conclusion:</w:t>
      </w:r>
      <w:r w:rsidRPr="007A6EE0">
        <w:rPr>
          <w:lang w:val="en-US"/>
        </w:rPr>
        <w:br/>
        <w:t xml:space="preserve">After adjusting for demographic </w:t>
      </w:r>
      <w:r w:rsidR="002614B0">
        <w:rPr>
          <w:lang w:val="en-US"/>
        </w:rPr>
        <w:t>changes</w:t>
      </w:r>
      <w:r w:rsidRPr="007A6EE0">
        <w:rPr>
          <w:lang w:val="en-US"/>
        </w:rPr>
        <w:t xml:space="preserve"> and delayed motherhood, Switzerland exhibits a persistent and increasing birth deficit, suggesting structural factors beyond age composition alone. Ongoing analyses aim to identify the socio-economic factors underlying these patterns.</w:t>
      </w:r>
    </w:p>
    <w:p w14:paraId="09BB96E1" w14:textId="77777777" w:rsidR="005535CE" w:rsidRPr="007A6EE0" w:rsidRDefault="005535CE">
      <w:pPr>
        <w:rPr>
          <w:lang w:val="en-US"/>
        </w:rPr>
      </w:pPr>
    </w:p>
    <w:sectPr w:rsidR="005535CE" w:rsidRPr="007A6E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EE0"/>
    <w:rsid w:val="001D6D63"/>
    <w:rsid w:val="002614B0"/>
    <w:rsid w:val="00261F95"/>
    <w:rsid w:val="00490E90"/>
    <w:rsid w:val="005535CE"/>
    <w:rsid w:val="005C4513"/>
    <w:rsid w:val="007A6EE0"/>
    <w:rsid w:val="008F5173"/>
    <w:rsid w:val="00AF3C9C"/>
    <w:rsid w:val="00BB2515"/>
    <w:rsid w:val="00D0589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E145"/>
  <w15:chartTrackingRefBased/>
  <w15:docId w15:val="{D923FD29-77F2-429F-939E-A5A5CD76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EE0"/>
    <w:rPr>
      <w:rFonts w:eastAsiaTheme="majorEastAsia" w:cstheme="majorBidi"/>
      <w:color w:val="272727" w:themeColor="text1" w:themeTint="D8"/>
    </w:rPr>
  </w:style>
  <w:style w:type="paragraph" w:styleId="Title">
    <w:name w:val="Title"/>
    <w:basedOn w:val="Normal"/>
    <w:next w:val="Normal"/>
    <w:link w:val="TitleChar"/>
    <w:uiPriority w:val="10"/>
    <w:qFormat/>
    <w:rsid w:val="007A6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EE0"/>
    <w:pPr>
      <w:spacing w:before="160"/>
      <w:jc w:val="center"/>
    </w:pPr>
    <w:rPr>
      <w:i/>
      <w:iCs/>
      <w:color w:val="404040" w:themeColor="text1" w:themeTint="BF"/>
    </w:rPr>
  </w:style>
  <w:style w:type="character" w:customStyle="1" w:styleId="QuoteChar">
    <w:name w:val="Quote Char"/>
    <w:basedOn w:val="DefaultParagraphFont"/>
    <w:link w:val="Quote"/>
    <w:uiPriority w:val="29"/>
    <w:rsid w:val="007A6EE0"/>
    <w:rPr>
      <w:i/>
      <w:iCs/>
      <w:color w:val="404040" w:themeColor="text1" w:themeTint="BF"/>
    </w:rPr>
  </w:style>
  <w:style w:type="paragraph" w:styleId="ListParagraph">
    <w:name w:val="List Paragraph"/>
    <w:basedOn w:val="Normal"/>
    <w:uiPriority w:val="34"/>
    <w:qFormat/>
    <w:rsid w:val="007A6EE0"/>
    <w:pPr>
      <w:ind w:left="720"/>
      <w:contextualSpacing/>
    </w:pPr>
  </w:style>
  <w:style w:type="character" w:styleId="IntenseEmphasis">
    <w:name w:val="Intense Emphasis"/>
    <w:basedOn w:val="DefaultParagraphFont"/>
    <w:uiPriority w:val="21"/>
    <w:qFormat/>
    <w:rsid w:val="007A6EE0"/>
    <w:rPr>
      <w:i/>
      <w:iCs/>
      <w:color w:val="0F4761" w:themeColor="accent1" w:themeShade="BF"/>
    </w:rPr>
  </w:style>
  <w:style w:type="paragraph" w:styleId="IntenseQuote">
    <w:name w:val="Intense Quote"/>
    <w:basedOn w:val="Normal"/>
    <w:next w:val="Normal"/>
    <w:link w:val="IntenseQuoteChar"/>
    <w:uiPriority w:val="30"/>
    <w:qFormat/>
    <w:rsid w:val="007A6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EE0"/>
    <w:rPr>
      <w:i/>
      <w:iCs/>
      <w:color w:val="0F4761" w:themeColor="accent1" w:themeShade="BF"/>
    </w:rPr>
  </w:style>
  <w:style w:type="character" w:styleId="IntenseReference">
    <w:name w:val="Intense Reference"/>
    <w:basedOn w:val="DefaultParagraphFont"/>
    <w:uiPriority w:val="32"/>
    <w:qFormat/>
    <w:rsid w:val="007A6EE0"/>
    <w:rPr>
      <w:b/>
      <w:bCs/>
      <w:smallCaps/>
      <w:color w:val="0F4761" w:themeColor="accent1" w:themeShade="BF"/>
      <w:spacing w:val="5"/>
    </w:rPr>
  </w:style>
  <w:style w:type="character" w:styleId="Hyperlink">
    <w:name w:val="Hyperlink"/>
    <w:basedOn w:val="DefaultParagraphFont"/>
    <w:uiPriority w:val="99"/>
    <w:unhideWhenUsed/>
    <w:rsid w:val="00BB2515"/>
    <w:rPr>
      <w:color w:val="467886" w:themeColor="hyperlink"/>
      <w:u w:val="single"/>
    </w:rPr>
  </w:style>
  <w:style w:type="character" w:styleId="UnresolvedMention">
    <w:name w:val="Unresolved Mention"/>
    <w:basedOn w:val="DefaultParagraphFont"/>
    <w:uiPriority w:val="99"/>
    <w:semiHidden/>
    <w:unhideWhenUsed/>
    <w:rsid w:val="00BB2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037287">
      <w:bodyDiv w:val="1"/>
      <w:marLeft w:val="0"/>
      <w:marRight w:val="0"/>
      <w:marTop w:val="0"/>
      <w:marBottom w:val="0"/>
      <w:divBdr>
        <w:top w:val="none" w:sz="0" w:space="0" w:color="auto"/>
        <w:left w:val="none" w:sz="0" w:space="0" w:color="auto"/>
        <w:bottom w:val="none" w:sz="0" w:space="0" w:color="auto"/>
        <w:right w:val="none" w:sz="0" w:space="0" w:color="auto"/>
      </w:divBdr>
    </w:div>
    <w:div w:id="125620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415</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5</cp:revision>
  <dcterms:created xsi:type="dcterms:W3CDTF">2026-02-25T08:29:00Z</dcterms:created>
  <dcterms:modified xsi:type="dcterms:W3CDTF">2026-02-25T09:05:00Z</dcterms:modified>
</cp:coreProperties>
</file>