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A29C" w14:textId="1658086B" w:rsidR="00B3145D" w:rsidRDefault="00B3145D">
      <w:r>
        <w:t>Titre :</w:t>
      </w:r>
    </w:p>
    <w:p w14:paraId="3A2DD3DB" w14:textId="3B05529C" w:rsidR="00B3145D" w:rsidRDefault="00B3145D" w:rsidP="00B3145D">
      <w:pPr>
        <w:pStyle w:val="ListParagraph"/>
        <w:numPr>
          <w:ilvl w:val="0"/>
          <w:numId w:val="5"/>
        </w:numPr>
      </w:pPr>
      <w:r>
        <w:t>Mené en collaboration avec Kaspar Staub, professeur à l’institut de médecine évoluti</w:t>
      </w:r>
      <w:r w:rsidR="00FB2079">
        <w:t>v</w:t>
      </w:r>
      <w:r>
        <w:t>e de l’Université de Zurich, historien et épidémiologiste.</w:t>
      </w:r>
    </w:p>
    <w:p w14:paraId="2BDD45B8" w14:textId="39E91D2B" w:rsidR="00B3145D" w:rsidRDefault="00B3145D" w:rsidP="00B3145D">
      <w:pPr>
        <w:pStyle w:val="ListParagraph"/>
        <w:numPr>
          <w:ilvl w:val="0"/>
          <w:numId w:val="5"/>
        </w:numPr>
      </w:pPr>
      <w:r>
        <w:t>Projet en cours, donc c’est aussi l’occasion d’entendre de vos retours</w:t>
      </w:r>
    </w:p>
    <w:p w14:paraId="3DF811C1" w14:textId="526DCC24" w:rsidR="00B3145D" w:rsidRDefault="00B3145D" w:rsidP="00B3145D">
      <w:r>
        <w:t>Slide 1 :</w:t>
      </w:r>
    </w:p>
    <w:p w14:paraId="00BCA6AF" w14:textId="545AAB67" w:rsidR="00B3145D" w:rsidRDefault="00B3145D" w:rsidP="00B3145D">
      <w:pPr>
        <w:pStyle w:val="ListParagraph"/>
        <w:numPr>
          <w:ilvl w:val="0"/>
          <w:numId w:val="5"/>
        </w:numPr>
      </w:pPr>
      <w:r>
        <w:t>Un indicateur utilisé pour mesurer la fécondité est l’ICF, taux de fécondité par âge</w:t>
      </w:r>
    </w:p>
    <w:p w14:paraId="2A19768D" w14:textId="5AF90E7D" w:rsidR="00E24281" w:rsidRDefault="00E24281" w:rsidP="00B3145D">
      <w:pPr>
        <w:pStyle w:val="ListParagraph"/>
        <w:numPr>
          <w:ilvl w:val="0"/>
          <w:numId w:val="5"/>
        </w:numPr>
      </w:pPr>
      <w:r>
        <w:t>Seuil de remplacement : nombre d’enfants par femme pour que la population garde un effectif stable</w:t>
      </w:r>
    </w:p>
    <w:p w14:paraId="659DBBC3" w14:textId="0BDBA031" w:rsidR="00E24281" w:rsidRDefault="00E24281" w:rsidP="00B3145D">
      <w:pPr>
        <w:pStyle w:val="ListParagraph"/>
        <w:numPr>
          <w:ilvl w:val="0"/>
          <w:numId w:val="5"/>
        </w:numPr>
      </w:pPr>
      <w:r>
        <w:t>Une première raison qui peut expliquer ce déclin récent, décaler les enfants à plus tard ce qui produit une</w:t>
      </w:r>
    </w:p>
    <w:p w14:paraId="40866979" w14:textId="1B214CF0" w:rsidR="00E24281" w:rsidRDefault="00E24281" w:rsidP="00B3145D">
      <w:pPr>
        <w:pStyle w:val="ListParagraph"/>
        <w:numPr>
          <w:ilvl w:val="0"/>
          <w:numId w:val="5"/>
        </w:numPr>
      </w:pPr>
      <w:r>
        <w:t xml:space="preserve">Mais la raison principale c’est évidemment, </w:t>
      </w:r>
      <w:r w:rsidRPr="00E24281">
        <w:t>étude par cohorte de femmes en âge de procréer, permet d'ajuster sur l'effect tempo et d'isoler l'effet quantum</w:t>
      </w:r>
    </w:p>
    <w:p w14:paraId="4AFA7D4F" w14:textId="59D509D9" w:rsidR="00E24281" w:rsidRDefault="00E24281" w:rsidP="00E24281">
      <w:r>
        <w:t>Slide 2 :</w:t>
      </w:r>
    </w:p>
    <w:p w14:paraId="3D39D243" w14:textId="1241F29B" w:rsidR="00E24281" w:rsidRDefault="00E24281" w:rsidP="00E24281">
      <w:pPr>
        <w:pStyle w:val="ListParagraph"/>
        <w:numPr>
          <w:ilvl w:val="0"/>
          <w:numId w:val="6"/>
        </w:numPr>
      </w:pPr>
      <w:r>
        <w:t>Naissances ont temporairement augmentés</w:t>
      </w:r>
    </w:p>
    <w:p w14:paraId="69A5F5F9" w14:textId="6E5FF722" w:rsidR="004D4CD7" w:rsidRDefault="004D4CD7" w:rsidP="00E24281">
      <w:pPr>
        <w:pStyle w:val="ListParagraph"/>
        <w:numPr>
          <w:ilvl w:val="0"/>
          <w:numId w:val="6"/>
        </w:numPr>
      </w:pPr>
      <w:r>
        <w:t>Intéressant aussi de comparer ces observations à des pandémies plus anciennes et de remarquer que le phénomène inverse se produisait</w:t>
      </w:r>
    </w:p>
    <w:p w14:paraId="671378B7" w14:textId="69389ABB" w:rsidR="004D4CD7" w:rsidRDefault="004D4CD7" w:rsidP="00E24281">
      <w:pPr>
        <w:pStyle w:val="ListParagraph"/>
        <w:numPr>
          <w:ilvl w:val="0"/>
          <w:numId w:val="6"/>
        </w:numPr>
      </w:pPr>
      <w:r>
        <w:t>En se plongeant dans le passé, on remarque aussi un autre phénomène c’est que la phase de déclin actuelle n’a rien inédit, année 60-70 et 90 déclin avant de rebondir/repartir.</w:t>
      </w:r>
    </w:p>
    <w:p w14:paraId="58C19945" w14:textId="7F516A41" w:rsidR="004D4CD7" w:rsidRDefault="004D4CD7" w:rsidP="004D4CD7">
      <w:r>
        <w:t>Slide 3 :</w:t>
      </w:r>
    </w:p>
    <w:p w14:paraId="78F33A88" w14:textId="149A0D08" w:rsidR="004D4CD7" w:rsidRDefault="004D4CD7" w:rsidP="004D4CD7">
      <w:pPr>
        <w:pStyle w:val="ListParagraph"/>
        <w:numPr>
          <w:ilvl w:val="0"/>
          <w:numId w:val="7"/>
        </w:numPr>
      </w:pPr>
      <w:r>
        <w:t xml:space="preserve">Une étude s’est intéressée au déclin actuelle qu’on observe en Suisse, en utilisant une méthode qui plutôt utilisée </w:t>
      </w:r>
      <w:r w:rsidR="00996CD0">
        <w:t>pour étudier la mortalité mais qui peut être aussi transposé pour la natalité : c’est de calculer l’excès/déficit de natalité</w:t>
      </w:r>
    </w:p>
    <w:p w14:paraId="42C2656A" w14:textId="77777777" w:rsidR="00B3145D" w:rsidRDefault="00B3145D"/>
    <w:p w14:paraId="464E463C" w14:textId="120E1EDB" w:rsidR="005535CE" w:rsidRDefault="00E22306">
      <w:r>
        <w:t>Slide 3 :</w:t>
      </w:r>
    </w:p>
    <w:p w14:paraId="6B1F8309" w14:textId="2CB2871F" w:rsidR="00E22306" w:rsidRDefault="00E22306" w:rsidP="00E22306">
      <w:pPr>
        <w:pStyle w:val="ListParagraph"/>
        <w:numPr>
          <w:ilvl w:val="0"/>
          <w:numId w:val="1"/>
        </w:numPr>
      </w:pPr>
      <w:r>
        <w:t>Ne prend pas en compte l’âge maternel :</w:t>
      </w:r>
    </w:p>
    <w:p w14:paraId="0DC1247D" w14:textId="402F215B" w:rsidR="00E22306" w:rsidRDefault="00E22306" w:rsidP="00E22306">
      <w:pPr>
        <w:pStyle w:val="ListParagraph"/>
      </w:pPr>
      <w:r>
        <w:t>c’est-à dire ne différencie pas une population avec beaucoup de personnes âgées de 30 ans, là où la fertilité est la plus élevée, à une population soit plus jeune ou plus âgée.</w:t>
      </w:r>
    </w:p>
    <w:p w14:paraId="3AB892CD" w14:textId="716635D5" w:rsidR="00E22306" w:rsidRDefault="00E22306" w:rsidP="00E22306">
      <w:pPr>
        <w:pStyle w:val="ListParagraph"/>
        <w:numPr>
          <w:ilvl w:val="0"/>
          <w:numId w:val="1"/>
        </w:numPr>
      </w:pPr>
      <w:r>
        <w:t xml:space="preserve">Ne prend pas en compte le report de la paternalité : </w:t>
      </w:r>
    </w:p>
    <w:p w14:paraId="41B0AC64" w14:textId="6D775E3A" w:rsidR="00E22306" w:rsidRDefault="00E22306" w:rsidP="00E22306">
      <w:pPr>
        <w:pStyle w:val="ListParagraph"/>
      </w:pPr>
      <w:r>
        <w:t>Une population plus âgées aura une natalité attendue plus haute en 2025 qu’en 2000, par exemple, en raison du report de la paternalité (déplacement de la fonction de fertilité vers des âges plus élevés)</w:t>
      </w:r>
    </w:p>
    <w:p w14:paraId="0278876F" w14:textId="6715A97F" w:rsidR="00455650" w:rsidRDefault="00455650" w:rsidP="00455650">
      <w:r>
        <w:t>Slide 4 :</w:t>
      </w:r>
    </w:p>
    <w:p w14:paraId="37582675" w14:textId="3995A491" w:rsidR="00455650" w:rsidRDefault="00455650" w:rsidP="00455650">
      <w:pPr>
        <w:pStyle w:val="ListParagraph"/>
        <w:numPr>
          <w:ilvl w:val="0"/>
          <w:numId w:val="1"/>
        </w:numPr>
      </w:pPr>
      <w:r>
        <w:t>Statistique du mouvement naturel de la population BEVNAT</w:t>
      </w:r>
    </w:p>
    <w:p w14:paraId="25512098" w14:textId="7B73EA39" w:rsidR="00455650" w:rsidRDefault="00455650" w:rsidP="00455650">
      <w:pPr>
        <w:pStyle w:val="ListParagraph"/>
        <w:numPr>
          <w:ilvl w:val="0"/>
          <w:numId w:val="1"/>
        </w:numPr>
      </w:pPr>
      <w:r>
        <w:t>Parité : le rang de la naissance, le nombre d’enfant qu’une femme a déjà mis au monde</w:t>
      </w:r>
    </w:p>
    <w:p w14:paraId="5655A9D4" w14:textId="27B720DB" w:rsidR="00C55697" w:rsidRDefault="00C55697" w:rsidP="00C55697">
      <w:r>
        <w:t xml:space="preserve">Slide 5 : </w:t>
      </w:r>
    </w:p>
    <w:p w14:paraId="02FEDF6C" w14:textId="02D7632D" w:rsidR="00C55697" w:rsidRDefault="00C55697" w:rsidP="00C55697">
      <w:pPr>
        <w:pStyle w:val="ListParagraph"/>
        <w:numPr>
          <w:ilvl w:val="0"/>
          <w:numId w:val="3"/>
        </w:numPr>
      </w:pPr>
      <w:r>
        <w:t>Femmes en âge de procréer, d’avoir des enfants</w:t>
      </w:r>
    </w:p>
    <w:p w14:paraId="500CFE8F" w14:textId="06069F90" w:rsidR="006D4C5B" w:rsidRDefault="006D4C5B" w:rsidP="006D4C5B">
      <w:r>
        <w:t>Slide 6 :</w:t>
      </w:r>
    </w:p>
    <w:p w14:paraId="1371F306" w14:textId="77777777" w:rsidR="006D4C5B" w:rsidRPr="006D4C5B" w:rsidRDefault="006D4C5B" w:rsidP="006D4C5B">
      <w:r w:rsidRPr="006D4C5B">
        <w:lastRenderedPageBreak/>
        <w:t>L’objectif ici est de quantifier l’excès ou le déficit de naissances au niveau national entre 2000 et 2025.</w:t>
      </w:r>
    </w:p>
    <w:p w14:paraId="1584EA40" w14:textId="77777777" w:rsidR="006D4C5B" w:rsidRPr="006D4C5B" w:rsidRDefault="006D4C5B" w:rsidP="006D4C5B">
      <w:r w:rsidRPr="006D4C5B">
        <w:t>L’excès de naissances correspond simplement à la différence entre le nombre de naissances observé et le nombre de naissances attendu. Et l’excès relatif correspond à cette différence rapportée au nombre attendu.</w:t>
      </w:r>
    </w:p>
    <w:p w14:paraId="271B4E27" w14:textId="77777777" w:rsidR="006D4C5B" w:rsidRPr="006D4C5B" w:rsidRDefault="006D4C5B" w:rsidP="006D4C5B">
      <w:r w:rsidRPr="006D4C5B">
        <w:t xml:space="preserve">La question importante est donc : </w:t>
      </w:r>
      <w:r w:rsidRPr="006D4C5B">
        <w:rPr>
          <w:b/>
          <w:bCs/>
        </w:rPr>
        <w:t>qu’est-ce qu’on considère comme le nombre de naissances attendu ?</w:t>
      </w:r>
    </w:p>
    <w:p w14:paraId="5D91EAC9" w14:textId="77777777" w:rsidR="006D4C5B" w:rsidRPr="006D4C5B" w:rsidRDefault="006D4C5B" w:rsidP="006D4C5B">
      <w:r w:rsidRPr="006D4C5B">
        <w:t xml:space="preserve">Nous définissons un scénario contrefactuel dans lequel </w:t>
      </w:r>
      <w:r w:rsidRPr="006D4C5B">
        <w:rPr>
          <w:b/>
          <w:bCs/>
        </w:rPr>
        <w:t>le niveau de fécondité reste constant au cours des 25 dernières années</w:t>
      </w:r>
      <w:r w:rsidRPr="006D4C5B">
        <w:t>. L’idée est de pouvoir isoler les changements de fécondité des changements démographiques.</w:t>
      </w:r>
    </w:p>
    <w:p w14:paraId="41E8F8D6" w14:textId="77777777" w:rsidR="006D4C5B" w:rsidRPr="006D4C5B" w:rsidRDefault="006D4C5B" w:rsidP="006D4C5B">
      <w:r w:rsidRPr="006D4C5B">
        <w:t xml:space="preserve">Cela signifie que le nombre attendu de naissances n’est pas constant. Il peut évoluer simplement parce que le </w:t>
      </w:r>
      <w:r w:rsidRPr="006D4C5B">
        <w:rPr>
          <w:b/>
          <w:bCs/>
        </w:rPr>
        <w:t>nombre de femmes en âge de procréer change</w:t>
      </w:r>
      <w:r w:rsidRPr="006D4C5B">
        <w:t xml:space="preserve">, parce que leur </w:t>
      </w:r>
      <w:r w:rsidRPr="006D4C5B">
        <w:rPr>
          <w:b/>
          <w:bCs/>
        </w:rPr>
        <w:t>structure par âge évolue</w:t>
      </w:r>
      <w:r w:rsidRPr="006D4C5B">
        <w:t xml:space="preserve">, ou encore parce que les femmes ont leurs enfants </w:t>
      </w:r>
      <w:r w:rsidRPr="006D4C5B">
        <w:rPr>
          <w:b/>
          <w:bCs/>
        </w:rPr>
        <w:t>à des âges de plus en plus élevés</w:t>
      </w:r>
      <w:r w:rsidRPr="006D4C5B">
        <w:t>.</w:t>
      </w:r>
    </w:p>
    <w:p w14:paraId="219EFF16" w14:textId="77777777" w:rsidR="006D4C5B" w:rsidRPr="006D4C5B" w:rsidRDefault="006D4C5B" w:rsidP="006D4C5B">
      <w:r w:rsidRPr="006D4C5B">
        <w:t xml:space="preserve">En revanche, nous n’introduisons volontairement </w:t>
      </w:r>
      <w:r w:rsidRPr="006D4C5B">
        <w:rPr>
          <w:b/>
          <w:bCs/>
        </w:rPr>
        <w:t>pas de tendance temporelle dans le niveau de fécondité</w:t>
      </w:r>
      <w:r w:rsidRPr="006D4C5B">
        <w:t>. Sinon, la baisse de fécondité que nous cherchons précisément à mesurer serait directement intégrée dans le nombre attendu.</w:t>
      </w:r>
    </w:p>
    <w:p w14:paraId="6BACC48F" w14:textId="77777777" w:rsidR="006D4C5B" w:rsidRPr="006D4C5B" w:rsidRDefault="006D4C5B" w:rsidP="006D4C5B">
      <w:r w:rsidRPr="006D4C5B">
        <w:t>Pour estimer ce scénario, nous utilisons un modèle bayésien. Pour chaque âge, nous modélisons le nombre de naissances par mois avec une distribution binomiale négative.</w:t>
      </w:r>
    </w:p>
    <w:p w14:paraId="5DFD8C6C" w14:textId="77777777" w:rsidR="006D4C5B" w:rsidRPr="006D4C5B" w:rsidRDefault="006D4C5B" w:rsidP="006D4C5B">
      <w:r w:rsidRPr="006D4C5B">
        <w:t>La fonction de fécondité par âge est représentée par le terme en rouge. Elle décrit la probabilité, pour une femme d’un âge donné, d’avoir un enfant au cours d’un mois.</w:t>
      </w:r>
    </w:p>
    <w:p w14:paraId="6300E96B" w14:textId="77777777" w:rsidR="006D4C5B" w:rsidRPr="006D4C5B" w:rsidRDefault="006D4C5B" w:rsidP="006D4C5B">
      <w:r w:rsidRPr="006D4C5B">
        <w:t xml:space="preserve">Nous autorisons ensuite cette courbe à </w:t>
      </w:r>
      <w:r w:rsidRPr="006D4C5B">
        <w:rPr>
          <w:b/>
          <w:bCs/>
        </w:rPr>
        <w:t>se déplacer horizontalement dans le temps</w:t>
      </w:r>
      <w:r w:rsidRPr="006D4C5B">
        <w:t xml:space="preserve">, avec le terme en orange. Cela permet de représenter le </w:t>
      </w:r>
      <w:r w:rsidRPr="006D4C5B">
        <w:rPr>
          <w:b/>
          <w:bCs/>
        </w:rPr>
        <w:t>report de la maternité vers des âges plus élevés</w:t>
      </w:r>
      <w:r w:rsidRPr="006D4C5B">
        <w:t>, tout en conservant le même niveau global de fécondité.</w:t>
      </w:r>
    </w:p>
    <w:p w14:paraId="35079413" w14:textId="77777777" w:rsidR="006D4C5B" w:rsidRPr="006D4C5B" w:rsidRDefault="006D4C5B" w:rsidP="006D4C5B">
      <w:r w:rsidRPr="006D4C5B">
        <w:t>Enfin, nous ajoutons un effet aléatoire mensuel pour tenir compte des variations au cours de l’année, un effet aléatoire annuel pour tenir compte des corrélations entre les naissances d’une même année, et le nombre de femmes à chaque âge comme exposition.</w:t>
      </w:r>
    </w:p>
    <w:p w14:paraId="4AD81EE0" w14:textId="48057914" w:rsidR="007856EF" w:rsidRDefault="006D4C5B" w:rsidP="007856EF">
      <w:r w:rsidRPr="006D4C5B">
        <w:t xml:space="preserve">Ainsi, le modèle nous permet de construire, pour chaque mois, </w:t>
      </w:r>
      <w:r w:rsidRPr="006D4C5B">
        <w:rPr>
          <w:b/>
          <w:bCs/>
        </w:rPr>
        <w:t>le nombre de naissances attendu si le niveau de fécondité était resté constant</w:t>
      </w:r>
      <w:r w:rsidRPr="006D4C5B">
        <w:t>, tout en tenant compte de l’évolution de la population et du report de la maternité. La différence avec les naissances réellement observées nous donne alors l’excès ou le déficit de naissances.</w:t>
      </w:r>
    </w:p>
    <w:p w14:paraId="123F2171" w14:textId="393F95F8" w:rsidR="007856EF" w:rsidRDefault="007856EF" w:rsidP="007856EF">
      <w:r>
        <w:t>Pour des considération relative à l’estimation de l’incertitude (dispersion nécessaire pour ne pas sous-estimer l’incertitude)</w:t>
      </w:r>
    </w:p>
    <w:p w14:paraId="26BDFE16" w14:textId="631A623C" w:rsidR="00267946" w:rsidRDefault="00267946" w:rsidP="007856EF">
      <w:r>
        <w:t>Slide 10 :</w:t>
      </w:r>
    </w:p>
    <w:p w14:paraId="1BF1DF24" w14:textId="465C1CEB" w:rsidR="00267946" w:rsidRDefault="00267946" w:rsidP="00267946">
      <w:pPr>
        <w:pStyle w:val="ListParagraph"/>
        <w:numPr>
          <w:ilvl w:val="0"/>
          <w:numId w:val="3"/>
        </w:numPr>
      </w:pPr>
      <w:r>
        <w:t>Déficit de 12% en 2025 : ça veut dire qu’en prenant comme référence les 25 dernières années, la natalité était 12% plus faible qu’attendu l’année passée</w:t>
      </w:r>
    </w:p>
    <w:p w14:paraId="4396766D" w14:textId="434F3667" w:rsidR="00434D8D" w:rsidRDefault="00434D8D" w:rsidP="00267946">
      <w:pPr>
        <w:pStyle w:val="ListParagraph"/>
        <w:numPr>
          <w:ilvl w:val="0"/>
          <w:numId w:val="3"/>
        </w:numPr>
      </w:pPr>
      <w:r>
        <w:t>Exception de 2021, et si on zoom un peu panel C, on voit deux pics de natalités qui correspondent à un peu plus de 9 mois après les deux vagues de covid de 2020, ce qui suggère un effet indirect de la situation particulière ainsi que des mesures de contrôle sur la natalité.</w:t>
      </w:r>
    </w:p>
    <w:p w14:paraId="45709E94" w14:textId="0A6AE1C9" w:rsidR="00434D8D" w:rsidRDefault="00434D8D" w:rsidP="00434D8D">
      <w:r>
        <w:lastRenderedPageBreak/>
        <w:t>Slide 11</w:t>
      </w:r>
    </w:p>
    <w:p w14:paraId="4CFB291D" w14:textId="2F2C5F34" w:rsidR="00434D8D" w:rsidRDefault="00434D8D" w:rsidP="00434D8D">
      <w:pPr>
        <w:pStyle w:val="ListParagraph"/>
        <w:numPr>
          <w:ilvl w:val="0"/>
          <w:numId w:val="4"/>
        </w:numPr>
      </w:pPr>
      <w:r>
        <w:t>Se restreint à partir de 2017, car c’est l’année où les naissances ont commencé à diminuer, et on regarde les différences en fonction de la nationalité de la mère</w:t>
      </w:r>
    </w:p>
    <w:p w14:paraId="5583AFFA" w14:textId="289C530B" w:rsidR="00D24E45" w:rsidRDefault="00D24E45" w:rsidP="00434D8D">
      <w:pPr>
        <w:pStyle w:val="ListParagraph"/>
        <w:numPr>
          <w:ilvl w:val="0"/>
          <w:numId w:val="4"/>
        </w:numPr>
      </w:pPr>
      <w:r>
        <w:t>Déclin marqué dans toutes les régions</w:t>
      </w:r>
    </w:p>
    <w:p w14:paraId="1B804957" w14:textId="0865988B" w:rsidR="007607AB" w:rsidRDefault="007607AB" w:rsidP="007607AB">
      <w:r>
        <w:t>Slide 17</w:t>
      </w:r>
    </w:p>
    <w:p w14:paraId="7AFA7486" w14:textId="77777777" w:rsidR="007607AB" w:rsidRPr="007607AB" w:rsidRDefault="007607AB" w:rsidP="007607AB">
      <w:r w:rsidRPr="007607AB">
        <w:t>Pour terminer, une prochaine étape serait d'utiliser des données individuelles afin d'étudier plus précisément les déterminants du déficit de naissances en Suisse. Cela permettrait notamment d'examiner le rôle de contraintes financières, par exemple le niveau de revenu ou le niveau socio-économique, mais aussi de contraintes pratiques, comme l'accès aux services de garde, ou encore de facteurs liés aux préférences et aux valeurs.</w:t>
      </w:r>
    </w:p>
    <w:p w14:paraId="755529F8" w14:textId="77777777" w:rsidR="007607AB" w:rsidRPr="007607AB" w:rsidRDefault="007607AB" w:rsidP="007607AB">
      <w:r w:rsidRPr="007607AB">
        <w:t>Plus généralement, plusieurs mécanismes ont été proposés dans la littérature pour expliquer la baisse de la fécondité. Ils peuvent être regroupés en facteurs biologiques, socio-démographiques et sociétaux.</w:t>
      </w:r>
    </w:p>
    <w:p w14:paraId="5F380182" w14:textId="77777777" w:rsidR="007607AB" w:rsidRPr="007607AB" w:rsidRDefault="007607AB" w:rsidP="007607AB">
      <w:r w:rsidRPr="007607AB">
        <w:t xml:space="preserve">Une partie importante de ces résultats repose toutefois sur des </w:t>
      </w:r>
      <w:r w:rsidRPr="007607AB">
        <w:rPr>
          <w:b/>
          <w:bCs/>
        </w:rPr>
        <w:t>données d'enquête et des entretiens</w:t>
      </w:r>
      <w:r w:rsidRPr="007607AB">
        <w:t>, qui permettent de documenter les motivations individuelles, mais dont la représentativité de l'ensemble de la population peut être limitée.</w:t>
      </w:r>
    </w:p>
    <w:p w14:paraId="029EC028" w14:textId="77777777" w:rsidR="007607AB" w:rsidRPr="007607AB" w:rsidRDefault="007607AB" w:rsidP="007607AB">
      <w:r w:rsidRPr="007607AB">
        <w:t>L'utilisation de données individuelles représentatives permettrait donc d'aller au-delà de la description des différences que nous avons observées et de mieux identifier les facteurs associés au déficit de naissances en Suisse.</w:t>
      </w:r>
    </w:p>
    <w:p w14:paraId="1FF02ABE" w14:textId="77777777" w:rsidR="007607AB" w:rsidRDefault="007607AB" w:rsidP="007607AB"/>
    <w:sectPr w:rsidR="007607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0EBE"/>
    <w:multiLevelType w:val="hybridMultilevel"/>
    <w:tmpl w:val="06D8093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8B65C2C"/>
    <w:multiLevelType w:val="hybridMultilevel"/>
    <w:tmpl w:val="ADCE57F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DEE799E"/>
    <w:multiLevelType w:val="hybridMultilevel"/>
    <w:tmpl w:val="AE463D3E"/>
    <w:lvl w:ilvl="0" w:tplc="CC9ADAA6">
      <w:start w:val="1"/>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B411AF8"/>
    <w:multiLevelType w:val="hybridMultilevel"/>
    <w:tmpl w:val="890CF4B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2C601400"/>
    <w:multiLevelType w:val="hybridMultilevel"/>
    <w:tmpl w:val="E5A690A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3D250108"/>
    <w:multiLevelType w:val="hybridMultilevel"/>
    <w:tmpl w:val="34CE5230"/>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9151B27"/>
    <w:multiLevelType w:val="hybridMultilevel"/>
    <w:tmpl w:val="B4E68E2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392585213">
    <w:abstractNumId w:val="5"/>
  </w:num>
  <w:num w:numId="2" w16cid:durableId="815757669">
    <w:abstractNumId w:val="2"/>
  </w:num>
  <w:num w:numId="3" w16cid:durableId="1534613966">
    <w:abstractNumId w:val="0"/>
  </w:num>
  <w:num w:numId="4" w16cid:durableId="1928729017">
    <w:abstractNumId w:val="3"/>
  </w:num>
  <w:num w:numId="5" w16cid:durableId="780535224">
    <w:abstractNumId w:val="1"/>
  </w:num>
  <w:num w:numId="6" w16cid:durableId="132525241">
    <w:abstractNumId w:val="6"/>
  </w:num>
  <w:num w:numId="7" w16cid:durableId="1124931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06"/>
    <w:rsid w:val="000B08C7"/>
    <w:rsid w:val="001D6D63"/>
    <w:rsid w:val="00267946"/>
    <w:rsid w:val="00434D8D"/>
    <w:rsid w:val="00455650"/>
    <w:rsid w:val="004D4CD7"/>
    <w:rsid w:val="005535CE"/>
    <w:rsid w:val="006D4C5B"/>
    <w:rsid w:val="007607AB"/>
    <w:rsid w:val="007856EF"/>
    <w:rsid w:val="008F5173"/>
    <w:rsid w:val="00996CD0"/>
    <w:rsid w:val="00B3145D"/>
    <w:rsid w:val="00C55697"/>
    <w:rsid w:val="00D24E45"/>
    <w:rsid w:val="00E22306"/>
    <w:rsid w:val="00E24281"/>
    <w:rsid w:val="00FB207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ED4C"/>
  <w15:chartTrackingRefBased/>
  <w15:docId w15:val="{76612665-0745-4435-B53A-2CEF550F5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306"/>
    <w:rPr>
      <w:rFonts w:eastAsiaTheme="majorEastAsia" w:cstheme="majorBidi"/>
      <w:color w:val="272727" w:themeColor="text1" w:themeTint="D8"/>
    </w:rPr>
  </w:style>
  <w:style w:type="paragraph" w:styleId="Title">
    <w:name w:val="Title"/>
    <w:basedOn w:val="Normal"/>
    <w:next w:val="Normal"/>
    <w:link w:val="TitleChar"/>
    <w:uiPriority w:val="10"/>
    <w:qFormat/>
    <w:rsid w:val="00E22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306"/>
    <w:pPr>
      <w:spacing w:before="160"/>
      <w:jc w:val="center"/>
    </w:pPr>
    <w:rPr>
      <w:i/>
      <w:iCs/>
      <w:color w:val="404040" w:themeColor="text1" w:themeTint="BF"/>
    </w:rPr>
  </w:style>
  <w:style w:type="character" w:customStyle="1" w:styleId="QuoteChar">
    <w:name w:val="Quote Char"/>
    <w:basedOn w:val="DefaultParagraphFont"/>
    <w:link w:val="Quote"/>
    <w:uiPriority w:val="29"/>
    <w:rsid w:val="00E22306"/>
    <w:rPr>
      <w:i/>
      <w:iCs/>
      <w:color w:val="404040" w:themeColor="text1" w:themeTint="BF"/>
    </w:rPr>
  </w:style>
  <w:style w:type="paragraph" w:styleId="ListParagraph">
    <w:name w:val="List Paragraph"/>
    <w:basedOn w:val="Normal"/>
    <w:uiPriority w:val="34"/>
    <w:qFormat/>
    <w:rsid w:val="00E22306"/>
    <w:pPr>
      <w:ind w:left="720"/>
      <w:contextualSpacing/>
    </w:pPr>
  </w:style>
  <w:style w:type="character" w:styleId="IntenseEmphasis">
    <w:name w:val="Intense Emphasis"/>
    <w:basedOn w:val="DefaultParagraphFont"/>
    <w:uiPriority w:val="21"/>
    <w:qFormat/>
    <w:rsid w:val="00E22306"/>
    <w:rPr>
      <w:i/>
      <w:iCs/>
      <w:color w:val="0F4761" w:themeColor="accent1" w:themeShade="BF"/>
    </w:rPr>
  </w:style>
  <w:style w:type="paragraph" w:styleId="IntenseQuote">
    <w:name w:val="Intense Quote"/>
    <w:basedOn w:val="Normal"/>
    <w:next w:val="Normal"/>
    <w:link w:val="IntenseQuoteChar"/>
    <w:uiPriority w:val="30"/>
    <w:qFormat/>
    <w:rsid w:val="00E22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306"/>
    <w:rPr>
      <w:i/>
      <w:iCs/>
      <w:color w:val="0F4761" w:themeColor="accent1" w:themeShade="BF"/>
    </w:rPr>
  </w:style>
  <w:style w:type="character" w:styleId="IntenseReference">
    <w:name w:val="Intense Reference"/>
    <w:basedOn w:val="DefaultParagraphFont"/>
    <w:uiPriority w:val="32"/>
    <w:qFormat/>
    <w:rsid w:val="00E22306"/>
    <w:rPr>
      <w:b/>
      <w:bCs/>
      <w:smallCaps/>
      <w:color w:val="0F4761" w:themeColor="accent1" w:themeShade="BF"/>
      <w:spacing w:val="5"/>
    </w:rPr>
  </w:style>
  <w:style w:type="character" w:styleId="Hyperlink">
    <w:name w:val="Hyperlink"/>
    <w:basedOn w:val="DefaultParagraphFont"/>
    <w:uiPriority w:val="99"/>
    <w:unhideWhenUsed/>
    <w:rsid w:val="00455650"/>
    <w:rPr>
      <w:color w:val="467886" w:themeColor="hyperlink"/>
      <w:u w:val="single"/>
    </w:rPr>
  </w:style>
  <w:style w:type="character" w:styleId="UnresolvedMention">
    <w:name w:val="Unresolved Mention"/>
    <w:basedOn w:val="DefaultParagraphFont"/>
    <w:uiPriority w:val="99"/>
    <w:semiHidden/>
    <w:unhideWhenUsed/>
    <w:rsid w:val="00455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3</Pages>
  <Words>954</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Hauser Anthony</cp:lastModifiedBy>
  <cp:revision>5</cp:revision>
  <cp:lastPrinted>2026-09-09T16:46:00Z</cp:lastPrinted>
  <dcterms:created xsi:type="dcterms:W3CDTF">2026-09-09T11:59:00Z</dcterms:created>
  <dcterms:modified xsi:type="dcterms:W3CDTF">2026-09-10T07:27:00Z</dcterms:modified>
</cp:coreProperties>
</file>