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16DF" w14:textId="77777777" w:rsidR="00143084" w:rsidRDefault="00143084" w:rsidP="00143084">
      <w:pPr>
        <w:jc w:val="both"/>
        <w:rPr>
          <w:lang w:val="en-US"/>
        </w:rPr>
      </w:pPr>
      <w:r>
        <w:rPr>
          <w:lang w:val="en-US"/>
        </w:rPr>
        <w:t xml:space="preserve">Limitation: </w:t>
      </w:r>
    </w:p>
    <w:p w14:paraId="5A946312" w14:textId="77777777" w:rsidR="00143084" w:rsidRPr="00EB5911" w:rsidRDefault="00143084" w:rsidP="00143084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EB5911">
        <w:rPr>
          <w:lang w:val="en-US"/>
        </w:rPr>
        <w:t>Ecological level</w:t>
      </w:r>
      <w:r>
        <w:rPr>
          <w:lang w:val="en-US"/>
        </w:rPr>
        <w:t xml:space="preserve"> for analysis of municipality-level explanatory variable (e.g., problematic for the SEP variables</w:t>
      </w:r>
    </w:p>
    <w:p w14:paraId="09A97F56" w14:textId="77777777" w:rsidR="00143084" w:rsidRDefault="00143084" w:rsidP="00143084">
      <w:pPr>
        <w:jc w:val="both"/>
        <w:rPr>
          <w:lang w:val="en-US"/>
        </w:rPr>
      </w:pPr>
    </w:p>
    <w:p w14:paraId="4686B8E5" w14:textId="77777777" w:rsidR="00143084" w:rsidRDefault="00143084" w:rsidP="00143084">
      <w:pPr>
        <w:jc w:val="both"/>
        <w:rPr>
          <w:lang w:val="en-US"/>
        </w:rPr>
      </w:pPr>
    </w:p>
    <w:p w14:paraId="396FFAF0" w14:textId="77777777" w:rsidR="00143084" w:rsidRDefault="00143084" w:rsidP="00143084">
      <w:pPr>
        <w:jc w:val="both"/>
        <w:rPr>
          <w:lang w:val="en-US"/>
        </w:rPr>
      </w:pPr>
    </w:p>
    <w:p w14:paraId="17FAA98C" w14:textId="77777777" w:rsidR="00143084" w:rsidRPr="003C5BDC" w:rsidRDefault="00143084" w:rsidP="00143084">
      <w:pPr>
        <w:jc w:val="both"/>
        <w:rPr>
          <w:lang w:val="en-US"/>
        </w:rPr>
      </w:pPr>
    </w:p>
    <w:p w14:paraId="064729F8" w14:textId="77777777" w:rsidR="00143084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Fit:</w:t>
      </w:r>
    </w:p>
    <w:p w14:paraId="7321B4DB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By month from 2000 to 2025 (Fig 1A): mention that excess is calculated according to the </w:t>
      </w:r>
      <w:proofErr w:type="gramStart"/>
      <w:r>
        <w:rPr>
          <w:lang w:val="en-US"/>
        </w:rPr>
        <w:t>reference</w:t>
      </w:r>
      <w:proofErr w:type="gramEnd"/>
      <w:r>
        <w:rPr>
          <w:lang w:val="en-US"/>
        </w:rPr>
        <w:t xml:space="preserve"> which is the whole period, so on the whole period should be around 0.</w:t>
      </w:r>
    </w:p>
    <w:p w14:paraId="6F242460" w14:textId="77777777" w:rsidR="00143084" w:rsidRPr="00A6352B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Fit and fertility curve for sub-group analysis (Fig S1-S4)</w:t>
      </w:r>
    </w:p>
    <w:p w14:paraId="58946997" w14:textId="77777777" w:rsidR="00143084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Fertility curve: </w:t>
      </w:r>
    </w:p>
    <w:p w14:paraId="50A3A34A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Peak at XX (Fig 1B)</w:t>
      </w:r>
    </w:p>
    <w:p w14:paraId="30BC3B21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shift over time to older age (Fig 1C)</w:t>
      </w:r>
    </w:p>
    <w:p w14:paraId="40353462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Sub-group: fertility difference between maternal citizenship (Fig S5) and more naturally between parity (Fig S6)</w:t>
      </w:r>
    </w:p>
    <w:p w14:paraId="542773CF" w14:textId="77777777" w:rsidR="00143084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Excess birth at national level</w:t>
      </w:r>
    </w:p>
    <w:p w14:paraId="0892AEBC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Continuous decrease from 2017, except from 2021 (Fig 2A)</w:t>
      </w:r>
    </w:p>
    <w:p w14:paraId="7E46104D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Two peaks in 2021, corresponding to 10/11 month shifted COVID-19 phases (Fig 2B)</w:t>
      </w:r>
    </w:p>
    <w:p w14:paraId="60EC480A" w14:textId="77777777" w:rsidR="00143084" w:rsidRPr="00F577FF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Sub-group analyses (Fig S7-S10).</w:t>
      </w:r>
    </w:p>
    <w:p w14:paraId="6394A164" w14:textId="77777777" w:rsidR="00143084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Geographical variation (2017-2024)</w:t>
      </w:r>
    </w:p>
    <w:p w14:paraId="58005989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Decrease in cities, some areas of South of Switzerland (Ticino, Grisons, Valais) (Fig 3)</w:t>
      </w:r>
    </w:p>
    <w:p w14:paraId="2077BF4D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Peripheric area with higher fertility</w:t>
      </w:r>
    </w:p>
    <w:p w14:paraId="2CF2C158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Sub-group analyses (Fig S11-S14)</w:t>
      </w:r>
    </w:p>
    <w:p w14:paraId="77F014AC" w14:textId="77777777" w:rsidR="00143084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Excess according to municipality-level covariates</w:t>
      </w:r>
    </w:p>
    <w:p w14:paraId="5056042B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Decrease with population density (more marked for Swiss women, for non-Swiss effect only in big cities) (Fig 4)</w:t>
      </w:r>
    </w:p>
    <w:p w14:paraId="0EEABEDD" w14:textId="77777777" w:rsidR="00143084" w:rsidRPr="00052E51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SEP: higher increase in ppl with low SEP (last decile, especially among non-Swiss women)</w:t>
      </w:r>
    </w:p>
    <w:p w14:paraId="5EA8E492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Votation</w:t>
      </w:r>
      <w:proofErr w:type="spellEnd"/>
      <w:r>
        <w:rPr>
          <w:lang w:val="en-US"/>
        </w:rPr>
        <w:t>: no effect (correlated with population density)</w:t>
      </w:r>
    </w:p>
    <w:p w14:paraId="1055AF66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CA657F">
        <w:rPr>
          <w:lang w:val="en-US"/>
        </w:rPr>
        <w:t xml:space="preserve">Childcare: </w:t>
      </w:r>
      <w:r>
        <w:rPr>
          <w:lang w:val="en-US"/>
        </w:rPr>
        <w:t>no effect (correlated with population density)</w:t>
      </w:r>
    </w:p>
    <w:p w14:paraId="4236A748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Bump in 2021 </w:t>
      </w:r>
      <w:proofErr w:type="gramStart"/>
      <w:r>
        <w:rPr>
          <w:lang w:val="en-US"/>
        </w:rPr>
        <w:t>mostly</w:t>
      </w:r>
      <w:proofErr w:type="gramEnd"/>
      <w:r>
        <w:rPr>
          <w:lang w:val="en-US"/>
        </w:rPr>
        <w:t xml:space="preserve"> visible in low density region (no temporal increase in cities) (Fig SXX)</w:t>
      </w:r>
    </w:p>
    <w:p w14:paraId="45BC5D15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All results for main and subgroup (S15-S20).</w:t>
      </w:r>
    </w:p>
    <w:p w14:paraId="664BC5FE" w14:textId="77777777" w:rsidR="00143084" w:rsidRDefault="00143084" w:rsidP="00143084">
      <w:pPr>
        <w:jc w:val="both"/>
        <w:rPr>
          <w:lang w:val="en-US"/>
        </w:rPr>
      </w:pPr>
    </w:p>
    <w:p w14:paraId="03F7998A" w14:textId="77777777" w:rsidR="00143084" w:rsidRPr="002C4B4E" w:rsidRDefault="00143084" w:rsidP="0014308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Sub-group </w:t>
      </w:r>
      <w:proofErr w:type="gramStart"/>
      <w:r>
        <w:rPr>
          <w:lang w:val="en-US"/>
        </w:rPr>
        <w:t>analyses</w:t>
      </w:r>
      <w:proofErr w:type="gramEnd"/>
    </w:p>
    <w:p w14:paraId="4CC9E4B3" w14:textId="77777777" w:rsidR="00143084" w:rsidRPr="008A62B0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8A62B0">
        <w:rPr>
          <w:lang w:val="en-US"/>
        </w:rPr>
        <w:t>Parity</w:t>
      </w:r>
    </w:p>
    <w:p w14:paraId="78578F40" w14:textId="77777777" w:rsidR="00143084" w:rsidRDefault="00143084" w:rsidP="00143084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A62B0">
        <w:rPr>
          <w:lang w:val="en-US"/>
        </w:rPr>
        <w:t>Increase in 2021 more visible for second child than first child, but decrease after 2021 is at least as marked if not more than for first child (so temporary effect)</w:t>
      </w:r>
    </w:p>
    <w:p w14:paraId="521F7D7D" w14:textId="77777777" w:rsidR="00143084" w:rsidRDefault="00143084" w:rsidP="00143084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A62B0">
        <w:rPr>
          <w:lang w:val="en-US"/>
        </w:rPr>
        <w:lastRenderedPageBreak/>
        <w:t>Effect of density clearer (monotonic and lower uncertainty, despite same number of births) for second child</w:t>
      </w:r>
    </w:p>
    <w:p w14:paraId="1D1E0C57" w14:textId="77777777" w:rsidR="00143084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Citizenship</w:t>
      </w:r>
    </w:p>
    <w:p w14:paraId="24CC169C" w14:textId="77777777" w:rsidR="00143084" w:rsidRDefault="00143084" w:rsidP="00143084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A62B0">
        <w:rPr>
          <w:lang w:val="en-US"/>
        </w:rPr>
        <w:t>Increase in 2021 more visible among Swiss, no effect in 2021 for non-Swiss and higher decrease since 2021</w:t>
      </w:r>
    </w:p>
    <w:p w14:paraId="448C3092" w14:textId="77777777" w:rsidR="00143084" w:rsidRDefault="00143084" w:rsidP="00143084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A62B0">
        <w:rPr>
          <w:lang w:val="en-US"/>
        </w:rPr>
        <w:t>Effect of density more monotonic/higher among Swiss</w:t>
      </w:r>
    </w:p>
    <w:p w14:paraId="513018F8" w14:textId="77777777" w:rsidR="00143084" w:rsidRPr="008A62B0" w:rsidRDefault="00143084" w:rsidP="00143084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8A62B0">
        <w:rPr>
          <w:lang w:val="en-US"/>
        </w:rPr>
        <w:t>Potential explanation: Maybe less affected by uncertainty inherent to COVID-19 period restriction</w:t>
      </w:r>
    </w:p>
    <w:p w14:paraId="1596578C" w14:textId="77777777" w:rsidR="005535CE" w:rsidRPr="00143084" w:rsidRDefault="005535CE">
      <w:pPr>
        <w:rPr>
          <w:lang w:val="en-US"/>
        </w:rPr>
      </w:pPr>
    </w:p>
    <w:sectPr w:rsidR="005535CE" w:rsidRPr="00143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F475B"/>
    <w:multiLevelType w:val="hybridMultilevel"/>
    <w:tmpl w:val="2AE2A91A"/>
    <w:lvl w:ilvl="0" w:tplc="7B9ED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50B4B"/>
    <w:multiLevelType w:val="hybridMultilevel"/>
    <w:tmpl w:val="DDCA47DA"/>
    <w:lvl w:ilvl="0" w:tplc="C3FC29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30095">
    <w:abstractNumId w:val="1"/>
  </w:num>
  <w:num w:numId="2" w16cid:durableId="5151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84"/>
    <w:rsid w:val="00143084"/>
    <w:rsid w:val="001D6D63"/>
    <w:rsid w:val="005535CE"/>
    <w:rsid w:val="008F5173"/>
    <w:rsid w:val="00AC2DB1"/>
    <w:rsid w:val="00B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D2D4F"/>
  <w15:chartTrackingRefBased/>
  <w15:docId w15:val="{9CD1A765-0B2E-4C4C-967A-89DD6ED4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084"/>
  </w:style>
  <w:style w:type="paragraph" w:styleId="Heading1">
    <w:name w:val="heading 1"/>
    <w:basedOn w:val="Normal"/>
    <w:next w:val="Normal"/>
    <w:link w:val="Heading1Char"/>
    <w:uiPriority w:val="9"/>
    <w:qFormat/>
    <w:rsid w:val="0014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Hauser Anthony</dc:creator>
  <cp:keywords/>
  <dc:description/>
  <cp:lastModifiedBy>Hauser Anthony</cp:lastModifiedBy>
  <cp:revision>1</cp:revision>
  <dcterms:created xsi:type="dcterms:W3CDTF">2026-08-07T12:20:00Z</dcterms:created>
  <dcterms:modified xsi:type="dcterms:W3CDTF">2026-08-07T12:21:00Z</dcterms:modified>
</cp:coreProperties>
</file>