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3BDA9" w14:textId="15B4CA18" w:rsidR="003D3CB4" w:rsidRPr="00982BCE" w:rsidRDefault="003D3CB4" w:rsidP="005A663A">
      <w:pPr>
        <w:pStyle w:val="FirstParagraph"/>
        <w:rPr>
          <w:b/>
          <w:bCs/>
          <w:sz w:val="22"/>
          <w:szCs w:val="22"/>
        </w:rPr>
      </w:pPr>
      <w:r w:rsidRPr="00982BCE">
        <w:rPr>
          <w:b/>
          <w:bCs/>
          <w:sz w:val="22"/>
          <w:szCs w:val="22"/>
        </w:rPr>
        <w:t>Data</w:t>
      </w:r>
      <w:r w:rsidR="00B24AA8" w:rsidRPr="00982BCE">
        <w:rPr>
          <w:b/>
          <w:bCs/>
          <w:sz w:val="22"/>
          <w:szCs w:val="22"/>
        </w:rPr>
        <w:t xml:space="preserve"> sources</w:t>
      </w:r>
    </w:p>
    <w:p w14:paraId="020B5B1E" w14:textId="4A49DD15" w:rsidR="00646A53" w:rsidRDefault="00646A53" w:rsidP="00646A53">
      <w:pPr>
        <w:pStyle w:val="FirstParagraph"/>
        <w:rPr>
          <w:sz w:val="22"/>
          <w:szCs w:val="22"/>
        </w:rPr>
      </w:pPr>
      <w:r w:rsidRPr="00646A53">
        <w:rPr>
          <w:sz w:val="22"/>
          <w:szCs w:val="22"/>
        </w:rPr>
        <w:t>We used data from several sources. First, we used individual-level data routinely collected by the Federal Statistical Office (FSO), including month and year of birth, nationality, age and municipality of residence of the mother, and parity of the child (available from 2005 onward). We considered the period 2000–2024 and restricted the sample to live births from mothers aged 15 to 50. These data were complemented with population data providing female population counts by age, year and municipality.</w:t>
      </w:r>
      <w:r>
        <w:rPr>
          <w:sz w:val="22"/>
          <w:szCs w:val="22"/>
        </w:rPr>
        <w:t xml:space="preserve"> </w:t>
      </w:r>
      <w:r w:rsidRPr="00646A53">
        <w:rPr>
          <w:sz w:val="22"/>
          <w:szCs w:val="22"/>
        </w:rPr>
        <w:t xml:space="preserve">Second, we used municipality-level explanatory variables to characterize spatial differences in fertility. We included FSO data on population density and availability of childcare services. We also incorporated municipal-level results from four votes related to women’s suffrage, family support and paternity leave. In addition, we used the Swiss </w:t>
      </w:r>
      <w:proofErr w:type="spellStart"/>
      <w:r w:rsidRPr="00646A53">
        <w:rPr>
          <w:sz w:val="22"/>
          <w:szCs w:val="22"/>
        </w:rPr>
        <w:t>neighbourhood</w:t>
      </w:r>
      <w:proofErr w:type="spellEnd"/>
      <w:r w:rsidRPr="00646A53">
        <w:rPr>
          <w:sz w:val="22"/>
          <w:szCs w:val="22"/>
        </w:rPr>
        <w:t xml:space="preserve"> index of socioeconomic position (Swiss-SEP-3), aggregated at the municipality level, and an urban–rural typology classifying municipalities into nine categories based on density, size and accessibility.</w:t>
      </w:r>
      <w:r>
        <w:rPr>
          <w:sz w:val="22"/>
          <w:szCs w:val="22"/>
        </w:rPr>
        <w:t xml:space="preserve"> </w:t>
      </w:r>
      <w:r w:rsidRPr="00646A53">
        <w:rPr>
          <w:sz w:val="22"/>
          <w:szCs w:val="22"/>
        </w:rPr>
        <w:t>Finally, we used data from the Swiss Household Panel (SHP) to assess changes in attitudes toward family-related topics at the national level over time.</w:t>
      </w:r>
    </w:p>
    <w:p w14:paraId="5099C98E" w14:textId="69692708" w:rsidR="004D7748" w:rsidRPr="00646A53" w:rsidRDefault="004D7748" w:rsidP="00646A53">
      <w:pPr>
        <w:pStyle w:val="FirstParagraph"/>
        <w:rPr>
          <w:sz w:val="22"/>
          <w:szCs w:val="22"/>
        </w:rPr>
      </w:pPr>
      <w:r w:rsidRPr="00982BCE">
        <w:rPr>
          <w:b/>
          <w:bCs/>
          <w:sz w:val="22"/>
          <w:szCs w:val="22"/>
        </w:rPr>
        <w:t>Fitting births</w:t>
      </w:r>
    </w:p>
    <w:p w14:paraId="3AD4D697" w14:textId="77FBB59F" w:rsidR="00536858" w:rsidRPr="00536858" w:rsidRDefault="00536858" w:rsidP="00536858">
      <w:pPr>
        <w:pStyle w:val="BodyText"/>
        <w:rPr>
          <w:sz w:val="22"/>
          <w:szCs w:val="22"/>
        </w:rPr>
      </w:pPr>
      <w:r w:rsidRPr="00536858">
        <w:rPr>
          <w:sz w:val="22"/>
          <w:szCs w:val="22"/>
        </w:rPr>
        <w:t>We fit a model for the monthly number of births among women aged 15 to 50 in Switzerland from 2000 to 2024 using a Bayesian framework. The model aims to estimate the number of births that would have occurred if overall fertility levels had remained constant over time. To do so, we introduce a baseline</w:t>
      </w:r>
      <w:r>
        <w:rPr>
          <w:sz w:val="22"/>
          <w:szCs w:val="22"/>
        </w:rPr>
        <w:t xml:space="preserve"> log-transformed</w:t>
      </w:r>
      <w:r w:rsidRPr="00536858">
        <w:rPr>
          <w:sz w:val="22"/>
          <w:szCs w:val="22"/>
        </w:rPr>
        <w:t xml:space="preserve"> age-specific fertility function </w:t>
      </w:r>
      <m:oMath>
        <m:r>
          <w:rPr>
            <w:rFonts w:ascii="Cambria Math" w:hAnsi="Cambria Math"/>
            <w:sz w:val="22"/>
            <w:szCs w:val="22"/>
          </w:rPr>
          <m:t>f</m:t>
        </m:r>
      </m:oMath>
      <w:r w:rsidRPr="00536858">
        <w:rPr>
          <w:sz w:val="22"/>
          <w:szCs w:val="22"/>
        </w:rPr>
        <w:t>, and allow for temporal changes in the timing of fertility through a shift</w:t>
      </w:r>
      <w:r>
        <w:rPr>
          <w:sz w:val="22"/>
          <w:szCs w:val="22"/>
        </w:rPr>
        <w:t xml:space="preserve"> </w:t>
      </w:r>
      <m:oMath>
        <m:r>
          <m:rPr>
            <m:sty m:val="p"/>
          </m:rPr>
          <w:rPr>
            <w:rFonts w:ascii="Cambria Math" w:hAnsi="Cambria Math"/>
            <w:sz w:val="22"/>
            <w:szCs w:val="22"/>
          </w:rPr>
          <m:t>δ(t)</m:t>
        </m:r>
      </m:oMath>
      <w:r w:rsidRPr="00536858">
        <w:rPr>
          <w:sz w:val="22"/>
          <w:szCs w:val="22"/>
        </w:rPr>
        <w:t xml:space="preserve"> in the age profile over time.</w:t>
      </w:r>
      <w:r>
        <w:rPr>
          <w:sz w:val="22"/>
          <w:szCs w:val="22"/>
        </w:rPr>
        <w:t xml:space="preserve"> We also account for change in female population</w:t>
      </w:r>
      <w:r w:rsidR="000937CA">
        <w:rPr>
          <w:sz w:val="22"/>
          <w:szCs w:val="22"/>
        </w:rPr>
        <w:t>.</w:t>
      </w:r>
    </w:p>
    <w:p w14:paraId="601A1E00" w14:textId="106DB670" w:rsidR="00FF67E6" w:rsidRPr="00982BCE" w:rsidRDefault="00FF67E6" w:rsidP="005529FA">
      <w:pPr>
        <w:pStyle w:val="FirstParagraph"/>
        <w:rPr>
          <w:sz w:val="22"/>
          <w:szCs w:val="22"/>
        </w:rPr>
      </w:pPr>
      <w:r w:rsidRPr="00982BCE">
        <w:rPr>
          <w:sz w:val="22"/>
          <w:szCs w:val="22"/>
        </w:rPr>
        <w:t xml:space="preserve">We assume that the number of births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00A15747" w:rsidRPr="00982BCE">
        <w:rPr>
          <w:sz w:val="22"/>
          <w:szCs w:val="22"/>
        </w:rPr>
        <w:t xml:space="preserve"> </w:t>
      </w:r>
      <w:r w:rsidR="00536858">
        <w:rPr>
          <w:sz w:val="22"/>
          <w:szCs w:val="22"/>
        </w:rPr>
        <w:t>for</w:t>
      </w:r>
      <w:r w:rsidRPr="00982BCE">
        <w:rPr>
          <w:sz w:val="22"/>
          <w:szCs w:val="22"/>
        </w:rPr>
        <w:t xml:space="preserve"> women of age </w:t>
      </w:r>
      <m:oMath>
        <m:r>
          <w:rPr>
            <w:rFonts w:ascii="Cambria Math" w:hAnsi="Cambria Math"/>
            <w:sz w:val="22"/>
            <w:szCs w:val="22"/>
          </w:rPr>
          <m:t>a</m:t>
        </m:r>
        <m:r>
          <m:rPr>
            <m:sty m:val="p"/>
          </m:rPr>
          <w:rPr>
            <w:rFonts w:ascii="Cambria Math" w:hAnsi="Cambria Math"/>
            <w:sz w:val="22"/>
            <w:szCs w:val="22"/>
          </w:rPr>
          <m:t xml:space="preserve"> </m:t>
        </m:r>
      </m:oMath>
      <w:r w:rsidRPr="00982BCE">
        <w:rPr>
          <w:rFonts w:eastAsiaTheme="minorEastAsia"/>
          <w:sz w:val="22"/>
          <w:szCs w:val="22"/>
        </w:rPr>
        <w:t xml:space="preserve"> at month </w:t>
      </w:r>
      <m:oMath>
        <m:r>
          <w:rPr>
            <w:rFonts w:ascii="Cambria Math" w:hAnsi="Cambria Math"/>
            <w:sz w:val="22"/>
            <w:szCs w:val="22"/>
          </w:rPr>
          <m:t>t</m:t>
        </m:r>
      </m:oMath>
      <w:r w:rsidRPr="00982BCE">
        <w:rPr>
          <w:rFonts w:eastAsiaTheme="minorEastAsia"/>
          <w:sz w:val="22"/>
          <w:szCs w:val="22"/>
        </w:rPr>
        <w:t xml:space="preserve"> follows a negative</w:t>
      </w:r>
      <w:r w:rsidR="00536858">
        <w:rPr>
          <w:rFonts w:eastAsiaTheme="minorEastAsia"/>
          <w:sz w:val="22"/>
          <w:szCs w:val="22"/>
        </w:rPr>
        <w:t xml:space="preserve"> </w:t>
      </w:r>
      <w:r w:rsidRPr="00982BCE">
        <w:rPr>
          <w:rFonts w:eastAsiaTheme="minorEastAsia"/>
          <w:sz w:val="22"/>
          <w:szCs w:val="22"/>
        </w:rPr>
        <w:t>binomial distribution:</w:t>
      </w:r>
    </w:p>
    <w:p w14:paraId="789DEB47" w14:textId="0A0F10D9" w:rsidR="00FF67E6" w:rsidRPr="00982BCE" w:rsidRDefault="00000000" w:rsidP="00FF67E6">
      <w:pPr>
        <w:pStyle w:val="BodyText"/>
        <w:jc w:val="center"/>
        <w:rPr>
          <w:rFonts w:eastAsiaTheme="minorEastAsia"/>
          <w:sz w:val="22"/>
          <w:szCs w:val="22"/>
          <w:lang w:val="de-CH"/>
        </w:rPr>
      </w:pP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r>
          <m:rPr>
            <m:sty m:val="p"/>
          </m:rPr>
          <w:rPr>
            <w:rFonts w:ascii="Cambria Math" w:hAnsi="Cambria Math"/>
            <w:sz w:val="22"/>
            <w:szCs w:val="22"/>
            <w:lang w:val="de-CH"/>
          </w:rPr>
          <m:t>∼</m:t>
        </m:r>
        <m:r>
          <m:rPr>
            <m:nor/>
          </m:rPr>
          <w:rPr>
            <w:sz w:val="22"/>
            <w:szCs w:val="22"/>
            <w:lang w:val="de-CH"/>
          </w:rPr>
          <m:t>NegBin</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μ</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r>
              <m:rPr>
                <m:sty m:val="p"/>
              </m:rPr>
              <w:rPr>
                <w:rFonts w:ascii="Cambria Math" w:hAnsi="Cambria Math"/>
                <w:sz w:val="22"/>
                <w:szCs w:val="22"/>
                <w:lang w:val="de-CH"/>
              </w:rPr>
              <m:t>,</m:t>
            </m:r>
            <m:r>
              <w:rPr>
                <w:rFonts w:ascii="Cambria Math" w:hAnsi="Cambria Math"/>
                <w:sz w:val="22"/>
                <w:szCs w:val="22"/>
              </w:rPr>
              <m:t>ϕ</m:t>
            </m:r>
          </m:e>
        </m:d>
        <m:r>
          <m:rPr>
            <m:sty m:val="p"/>
          </m:rPr>
          <w:rPr>
            <w:rFonts w:ascii="Cambria Math" w:hAnsi="Cambria Math"/>
            <w:sz w:val="22"/>
            <w:szCs w:val="22"/>
            <w:lang w:val="de-CH"/>
          </w:rPr>
          <m:t>,</m:t>
        </m:r>
        <m:r>
          <w:rPr>
            <w:rFonts w:ascii="Cambria Math" w:hAnsi="Cambria Math"/>
            <w:sz w:val="22"/>
            <w:szCs w:val="22"/>
            <w:lang w:val="de-CH"/>
          </w:rPr>
          <m:t> </m:t>
        </m:r>
        <m:r>
          <m:rPr>
            <m:sty m:val="p"/>
          </m:rPr>
          <w:rPr>
            <w:rFonts w:ascii="Cambria Math" w:hAnsi="Cambria Math"/>
            <w:sz w:val="22"/>
            <w:szCs w:val="22"/>
            <w:lang w:val="de-CH"/>
          </w:rPr>
          <m:t xml:space="preserve">log </m:t>
        </m:r>
        <m:sSub>
          <m:sSubPr>
            <m:ctrlPr>
              <w:rPr>
                <w:rFonts w:ascii="Cambria Math" w:hAnsi="Cambria Math"/>
                <w:sz w:val="22"/>
                <w:szCs w:val="22"/>
              </w:rPr>
            </m:ctrlPr>
          </m:sSubPr>
          <m:e>
            <m:r>
              <w:rPr>
                <w:rFonts w:ascii="Cambria Math" w:hAnsi="Cambria Math"/>
                <w:sz w:val="22"/>
                <w:szCs w:val="22"/>
              </w:rPr>
              <m:t>μ</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r>
          <m:rPr>
            <m:sty m:val="p"/>
          </m:rPr>
          <w:rPr>
            <w:rFonts w:ascii="Cambria Math" w:hAnsi="Cambria Math"/>
            <w:sz w:val="22"/>
            <w:szCs w:val="22"/>
            <w:lang w:val="de-CH"/>
          </w:rPr>
          <m:t>=</m:t>
        </m:r>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r>
              <m:rPr>
                <m:sty m:val="p"/>
              </m:rPr>
              <w:rPr>
                <w:rFonts w:ascii="Cambria Math" w:hAnsi="Cambria Math"/>
                <w:sz w:val="22"/>
                <w:szCs w:val="22"/>
                <w:lang w:val="de-CH"/>
              </w:rPr>
              <m:t>+</m:t>
            </m:r>
            <m:r>
              <m:rPr>
                <m:sty m:val="p"/>
              </m:rPr>
              <w:rPr>
                <w:rFonts w:ascii="Cambria Math" w:hAnsi="Cambria Math"/>
                <w:sz w:val="22"/>
                <w:szCs w:val="22"/>
              </w:rPr>
              <m:t>δ</m:t>
            </m:r>
            <m:r>
              <m:rPr>
                <m:sty m:val="p"/>
              </m:rPr>
              <w:rPr>
                <w:rFonts w:ascii="Cambria Math" w:hAnsi="Cambria Math"/>
                <w:sz w:val="22"/>
                <w:szCs w:val="22"/>
                <w:lang w:val="de-CH"/>
              </w:rPr>
              <m:t>(t)</m:t>
            </m:r>
          </m:e>
        </m:d>
        <m:r>
          <m:rPr>
            <m:sty m:val="p"/>
          </m:rPr>
          <w:rPr>
            <w:rFonts w:ascii="Cambria Math" w:hAnsi="Cambria Math"/>
            <w:sz w:val="22"/>
            <w:szCs w:val="22"/>
            <w:lang w:val="de-CH"/>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r>
          <m:rPr>
            <m:sty m:val="p"/>
          </m:rPr>
          <w:rPr>
            <w:rFonts w:ascii="Cambria Math" w:hAnsi="Cambria Math"/>
            <w:sz w:val="22"/>
            <w:szCs w:val="22"/>
            <w:lang w:val="de-CH"/>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y</m:t>
            </m:r>
          </m:sub>
        </m:sSub>
        <m:r>
          <m:rPr>
            <m:sty m:val="p"/>
          </m:rPr>
          <w:rPr>
            <w:rFonts w:ascii="Cambria Math" w:hAnsi="Cambria Math"/>
            <w:sz w:val="22"/>
            <w:szCs w:val="22"/>
            <w:lang w:val="de-CH"/>
          </w:rPr>
          <m:t>+log</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oMath>
      <w:r w:rsidR="00FF67E6" w:rsidRPr="00982BCE">
        <w:rPr>
          <w:rFonts w:eastAsiaTheme="minorEastAsia"/>
          <w:sz w:val="22"/>
          <w:szCs w:val="22"/>
          <w:lang w:val="de-CH"/>
        </w:rPr>
        <w:t>,</w:t>
      </w:r>
    </w:p>
    <w:p w14:paraId="7F751BE7" w14:textId="21443D9C" w:rsidR="00E77C3C" w:rsidRPr="00982BCE" w:rsidRDefault="00FF67E6" w:rsidP="00E77C3C">
      <w:pPr>
        <w:pStyle w:val="FirstParagraph"/>
        <w:rPr>
          <w:sz w:val="22"/>
          <w:szCs w:val="22"/>
        </w:rPr>
      </w:pPr>
      <w:r w:rsidRPr="00982BCE">
        <w:rPr>
          <w:sz w:val="22"/>
          <w:szCs w:val="22"/>
        </w:rPr>
        <w:t xml:space="preserve">where </w:t>
      </w:r>
      <m:oMath>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oMath>
      <w:r w:rsidRPr="00982BCE">
        <w:rPr>
          <w:sz w:val="22"/>
          <w:szCs w:val="22"/>
        </w:rPr>
        <w:t xml:space="preserve"> is a fixed effect for calendar month </w:t>
      </w:r>
      <m:oMath>
        <m:r>
          <w:rPr>
            <w:rFonts w:ascii="Cambria Math" w:hAnsi="Cambria Math"/>
            <w:sz w:val="22"/>
            <w:szCs w:val="22"/>
          </w:rPr>
          <m:t>m</m:t>
        </m:r>
      </m:oMath>
      <w:r w:rsidRPr="00982BCE">
        <w:rPr>
          <w:sz w:val="22"/>
          <w:szCs w:val="22"/>
        </w:rPr>
        <w:t xml:space="preserve">, </w:t>
      </w:r>
      <m:oMath>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y</m:t>
            </m:r>
          </m:sub>
        </m:sSub>
        <m:r>
          <m:rPr>
            <m:sty m:val="p"/>
          </m:rPr>
          <w:rPr>
            <w:rFonts w:ascii="Cambria Math" w:hAnsi="Cambria Math"/>
            <w:sz w:val="22"/>
            <w:szCs w:val="22"/>
          </w:rPr>
          <m:t>∼</m:t>
        </m:r>
        <m:r>
          <m:rPr>
            <m:nor/>
          </m:rPr>
          <w:rPr>
            <w:sz w:val="22"/>
            <w:szCs w:val="22"/>
          </w:rPr>
          <m:t>N</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σ</m:t>
                </m:r>
              </m:e>
              <m:sub/>
              <m:sup>
                <m:r>
                  <w:rPr>
                    <w:rFonts w:ascii="Cambria Math" w:hAnsi="Cambria Math"/>
                    <w:sz w:val="22"/>
                    <w:szCs w:val="22"/>
                  </w:rPr>
                  <m:t>2</m:t>
                </m:r>
              </m:sup>
            </m:sSubSup>
          </m:e>
        </m:d>
      </m:oMath>
      <w:r w:rsidRPr="00982BCE">
        <w:rPr>
          <w:sz w:val="22"/>
          <w:szCs w:val="22"/>
        </w:rPr>
        <w:t xml:space="preserve"> is a random effect for calendar year </w:t>
      </w:r>
      <m:oMath>
        <m:r>
          <w:rPr>
            <w:rFonts w:ascii="Cambria Math" w:hAnsi="Cambria Math"/>
            <w:sz w:val="22"/>
            <w:szCs w:val="22"/>
          </w:rPr>
          <m:t>y</m:t>
        </m:r>
        <m:d>
          <m:dPr>
            <m:ctrlPr>
              <w:rPr>
                <w:rFonts w:ascii="Cambria Math" w:hAnsi="Cambria Math"/>
                <w:sz w:val="22"/>
                <w:szCs w:val="22"/>
              </w:rPr>
            </m:ctrlPr>
          </m:dPr>
          <m:e>
            <m:r>
              <w:rPr>
                <w:rFonts w:ascii="Cambria Math" w:hAnsi="Cambria Math"/>
                <w:sz w:val="22"/>
                <w:szCs w:val="22"/>
              </w:rPr>
              <m:t>t</m:t>
            </m:r>
          </m:e>
        </m:d>
      </m:oMath>
      <w:r w:rsidRPr="00982BCE">
        <w:rPr>
          <w:sz w:val="22"/>
          <w:szCs w:val="22"/>
        </w:rPr>
        <w:t xml:space="preserve"> of standard deviation </w:t>
      </w:r>
      <m:oMath>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y</m:t>
            </m:r>
          </m:sub>
        </m:sSub>
      </m:oMath>
      <w:r w:rsidR="00A15747" w:rsidRPr="00982BCE">
        <w:rPr>
          <w:sz w:val="22"/>
          <w:szCs w:val="22"/>
        </w:rPr>
        <w:t>,</w:t>
      </w:r>
      <w:r w:rsidR="000937CA">
        <w:rPr>
          <w:sz w:val="22"/>
          <w:szCs w:val="22"/>
        </w:rPr>
        <w:t xml:space="preserve">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000937CA">
        <w:rPr>
          <w:rFonts w:eastAsiaTheme="minorEastAsia"/>
          <w:sz w:val="22"/>
          <w:szCs w:val="22"/>
        </w:rPr>
        <w:t xml:space="preserve"> is the number of women of </w:t>
      </w:r>
      <w:r w:rsidR="000937CA" w:rsidRPr="00982BCE">
        <w:rPr>
          <w:sz w:val="22"/>
          <w:szCs w:val="22"/>
        </w:rPr>
        <w:t xml:space="preserve">age </w:t>
      </w:r>
      <m:oMath>
        <m:r>
          <w:rPr>
            <w:rFonts w:ascii="Cambria Math" w:hAnsi="Cambria Math"/>
            <w:sz w:val="22"/>
            <w:szCs w:val="22"/>
          </w:rPr>
          <m:t>a</m:t>
        </m:r>
      </m:oMath>
      <w:r w:rsidR="000937CA" w:rsidRPr="00982BCE">
        <w:rPr>
          <w:rFonts w:eastAsiaTheme="minorEastAsia"/>
          <w:sz w:val="22"/>
          <w:szCs w:val="22"/>
        </w:rPr>
        <w:t xml:space="preserve"> at month </w:t>
      </w:r>
      <m:oMath>
        <m:r>
          <w:rPr>
            <w:rFonts w:ascii="Cambria Math" w:hAnsi="Cambria Math"/>
            <w:sz w:val="22"/>
            <w:szCs w:val="22"/>
          </w:rPr>
          <m:t>t</m:t>
        </m:r>
      </m:oMath>
      <w:r w:rsidR="000937CA">
        <w:rPr>
          <w:rFonts w:eastAsiaTheme="minorEastAsia"/>
          <w:sz w:val="22"/>
          <w:szCs w:val="22"/>
        </w:rPr>
        <w:t xml:space="preserve"> included as an offset, </w:t>
      </w:r>
      <w:r w:rsidRPr="00982BCE">
        <w:rPr>
          <w:sz w:val="22"/>
          <w:szCs w:val="22"/>
        </w:rPr>
        <w:t xml:space="preserve">and </w:t>
      </w:r>
      <m:oMath>
        <m:r>
          <w:rPr>
            <w:rFonts w:ascii="Cambria Math" w:hAnsi="Cambria Math"/>
            <w:sz w:val="22"/>
            <w:szCs w:val="22"/>
          </w:rPr>
          <m:t>ϕ</m:t>
        </m:r>
      </m:oMath>
      <w:r w:rsidRPr="00982BCE">
        <w:rPr>
          <w:sz w:val="22"/>
          <w:szCs w:val="22"/>
        </w:rPr>
        <w:t xml:space="preserve"> is the overdispersion parameter.</w:t>
      </w:r>
    </w:p>
    <w:p w14:paraId="392ADC52" w14:textId="13E5C168" w:rsidR="00FF67E6" w:rsidRPr="00982BCE" w:rsidRDefault="00E77C3C" w:rsidP="005A663A">
      <w:pPr>
        <w:pStyle w:val="BodyText"/>
        <w:rPr>
          <w:rFonts w:eastAsiaTheme="minorEastAsia"/>
          <w:sz w:val="22"/>
          <w:szCs w:val="22"/>
        </w:rPr>
      </w:pPr>
      <w:r w:rsidRPr="00982BCE">
        <w:rPr>
          <w:sz w:val="22"/>
          <w:szCs w:val="22"/>
        </w:rPr>
        <w:t xml:space="preserve">Both functions </w:t>
      </w:r>
      <m:oMath>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e>
        </m:d>
      </m:oMath>
      <w:r w:rsidRPr="00982BCE">
        <w:rPr>
          <w:rFonts w:eastAsiaTheme="minorEastAsia"/>
          <w:sz w:val="22"/>
          <w:szCs w:val="22"/>
        </w:rPr>
        <w:t xml:space="preserve"> and </w:t>
      </w:r>
      <m:oMath>
        <m:r>
          <m:rPr>
            <m:sty m:val="p"/>
          </m:rPr>
          <w:rPr>
            <w:rFonts w:ascii="Cambria Math" w:hAnsi="Cambria Math"/>
            <w:sz w:val="22"/>
            <w:szCs w:val="22"/>
          </w:rPr>
          <m:t>δ(t)</m:t>
        </m:r>
      </m:oMath>
      <w:r w:rsidRPr="00982BCE">
        <w:rPr>
          <w:rFonts w:eastAsiaTheme="minorEastAsia"/>
          <w:sz w:val="22"/>
          <w:szCs w:val="22"/>
        </w:rPr>
        <w:t xml:space="preserve"> are modelled through Gaussian processes (GP) with exponential kernel. </w:t>
      </w:r>
      <w:r w:rsidRPr="00982BCE">
        <w:rPr>
          <w:sz w:val="22"/>
          <w:szCs w:val="22"/>
        </w:rPr>
        <w:t>The year effect is included to capture residual correlation due to factors affecting birth of all ages simultaneously, inducing within-year dependence across age groups.</w:t>
      </w:r>
    </w:p>
    <w:p w14:paraId="030F3FC1" w14:textId="0625C7B1" w:rsidR="004D7748" w:rsidRPr="00982BCE" w:rsidRDefault="00A15747" w:rsidP="005A663A">
      <w:pPr>
        <w:pStyle w:val="BodyText"/>
        <w:rPr>
          <w:b/>
          <w:bCs/>
          <w:sz w:val="22"/>
          <w:szCs w:val="22"/>
        </w:rPr>
      </w:pPr>
      <w:r w:rsidRPr="00982BCE">
        <w:rPr>
          <w:b/>
          <w:bCs/>
          <w:sz w:val="22"/>
          <w:szCs w:val="22"/>
        </w:rPr>
        <w:t>Expected/predicted number of births</w:t>
      </w:r>
    </w:p>
    <w:p w14:paraId="40E876B6" w14:textId="4BB8751A" w:rsidR="00A15747" w:rsidRPr="00982BCE" w:rsidRDefault="00682F04" w:rsidP="005A663A">
      <w:pPr>
        <w:pStyle w:val="BodyText"/>
        <w:rPr>
          <w:sz w:val="22"/>
          <w:szCs w:val="22"/>
        </w:rPr>
      </w:pPr>
      <w:r w:rsidRPr="00682F04">
        <w:rPr>
          <w:sz w:val="22"/>
          <w:szCs w:val="22"/>
        </w:rPr>
        <w:t xml:space="preserve">Using model posterior draws, we compute the expected number of births under a counterfactual scenario in which the overall level of fertility </w:t>
      </w:r>
      <w:r>
        <w:rPr>
          <w:sz w:val="22"/>
          <w:szCs w:val="22"/>
        </w:rPr>
        <w:t>is preserved</w:t>
      </w:r>
      <w:r w:rsidRPr="00682F04">
        <w:rPr>
          <w:sz w:val="22"/>
          <w:szCs w:val="22"/>
        </w:rPr>
        <w:t xml:space="preserve"> over </w:t>
      </w:r>
      <w:r w:rsidR="00F807F8">
        <w:rPr>
          <w:sz w:val="22"/>
          <w:szCs w:val="22"/>
        </w:rPr>
        <w:t>year</w:t>
      </w:r>
      <w:r w:rsidRPr="00682F04">
        <w:rPr>
          <w:sz w:val="22"/>
          <w:szCs w:val="22"/>
        </w:rPr>
        <w:t>, with changes occurring only through shifts in the timing of childbearing across ages. Under this scenario, differences in expected births arise solely from changes in the size and age structure of the female population.</w:t>
      </w:r>
      <w:r>
        <w:rPr>
          <w:sz w:val="22"/>
          <w:szCs w:val="22"/>
        </w:rPr>
        <w:t xml:space="preserve"> </w:t>
      </w:r>
      <w:r w:rsidR="00EC686E" w:rsidRPr="00982BCE">
        <w:rPr>
          <w:sz w:val="22"/>
          <w:szCs w:val="22"/>
        </w:rPr>
        <w:t xml:space="preserve">Formally, </w:t>
      </w:r>
      <w:r w:rsidR="00A15747" w:rsidRPr="00982BCE">
        <w:rPr>
          <w:sz w:val="22"/>
          <w:szCs w:val="22"/>
        </w:rPr>
        <w:t xml:space="preserve">the </w:t>
      </w:r>
      <w:r w:rsidR="00EC686E" w:rsidRPr="00982BCE">
        <w:rPr>
          <w:sz w:val="22"/>
          <w:szCs w:val="22"/>
        </w:rPr>
        <w:t xml:space="preserve">number of expected births from women of age </w:t>
      </w:r>
      <m:oMath>
        <m:r>
          <m:rPr>
            <m:sty m:val="p"/>
          </m:rPr>
          <w:rPr>
            <w:rFonts w:ascii="Cambria Math" w:hAnsi="Cambria Math"/>
            <w:sz w:val="22"/>
            <w:szCs w:val="22"/>
          </w:rPr>
          <m:t>a</m:t>
        </m:r>
      </m:oMath>
      <w:r w:rsidR="00EC686E" w:rsidRPr="00982BCE">
        <w:rPr>
          <w:rFonts w:eastAsiaTheme="minorEastAsia"/>
          <w:sz w:val="22"/>
          <w:szCs w:val="22"/>
        </w:rPr>
        <w:t xml:space="preserve"> at month </w:t>
      </w:r>
      <m:oMath>
        <m:r>
          <w:rPr>
            <w:rFonts w:ascii="Cambria Math" w:hAnsi="Cambria Math"/>
            <w:sz w:val="22"/>
            <w:szCs w:val="22"/>
          </w:rPr>
          <m:t>t</m:t>
        </m:r>
      </m:oMath>
      <w:r w:rsidR="00EC686E" w:rsidRPr="00982BCE">
        <w:rPr>
          <w:rFonts w:eastAsiaTheme="minorEastAsia"/>
          <w:sz w:val="22"/>
          <w:szCs w:val="22"/>
        </w:rPr>
        <w:t xml:space="preserve"> is defined as</w:t>
      </w:r>
    </w:p>
    <w:p w14:paraId="657DCFC5" w14:textId="7C8372D2" w:rsidR="00A15747" w:rsidRPr="00132B83" w:rsidRDefault="00000000" w:rsidP="00A15747">
      <w:pPr>
        <w:pStyle w:val="BodyText"/>
        <w:rPr>
          <w:sz w:val="22"/>
          <w:szCs w:val="22"/>
        </w:rPr>
      </w:pPr>
      <m:oMathPara>
        <m:oMathParaPr>
          <m:jc m:val="center"/>
        </m:oMathParaP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m:rPr>
              <m:nor/>
            </m:rPr>
            <w:rPr>
              <w:sz w:val="22"/>
              <w:szCs w:val="22"/>
            </w:rPr>
            <m:t>NegBinom</m:t>
          </m:r>
          <m:r>
            <w:rPr>
              <w:rFonts w:ascii="Cambria Math" w:eastAsiaTheme="minorEastAsia" w:hAnsi="Cambria Math"/>
              <w:sz w:val="22"/>
              <w:szCs w:val="22"/>
            </w:rPr>
            <m:t>(</m:t>
          </m:r>
          <m:sSub>
            <m:sSubPr>
              <m:ctrlPr>
                <w:rPr>
                  <w:rFonts w:ascii="Cambria Math" w:eastAsiaTheme="minorEastAsia" w:hAnsi="Cambria Math"/>
                  <w:i/>
                  <w:sz w:val="22"/>
                  <w:szCs w:val="22"/>
                </w:rPr>
              </m:ctrlPr>
            </m:sSubPr>
            <m:e>
              <m:acc>
                <m:accPr>
                  <m:ctrlPr>
                    <w:rPr>
                      <w:rFonts w:ascii="Cambria Math" w:eastAsiaTheme="minorEastAsia" w:hAnsi="Cambria Math"/>
                      <w:i/>
                      <w:sz w:val="22"/>
                      <w:szCs w:val="22"/>
                    </w:rPr>
                  </m:ctrlPr>
                </m:accPr>
                <m:e>
                  <m:r>
                    <w:rPr>
                      <w:rFonts w:ascii="Cambria Math" w:eastAsiaTheme="minorEastAsia" w:hAnsi="Cambria Math"/>
                      <w:sz w:val="22"/>
                      <w:szCs w:val="22"/>
                    </w:rPr>
                    <m:t>μ</m:t>
                  </m:r>
                </m:e>
              </m:acc>
            </m:e>
            <m:sub>
              <m:r>
                <w:rPr>
                  <w:rFonts w:ascii="Cambria Math" w:eastAsiaTheme="minorEastAsia" w:hAnsi="Cambria Math"/>
                  <w:sz w:val="22"/>
                  <w:szCs w:val="22"/>
                </w:rPr>
                <m:t>a,t</m:t>
              </m:r>
            </m:sub>
          </m:sSub>
          <m:r>
            <w:rPr>
              <w:rFonts w:ascii="Cambria Math" w:eastAsiaTheme="minorEastAsia" w:hAnsi="Cambria Math"/>
              <w:sz w:val="22"/>
              <w:szCs w:val="22"/>
            </w:rPr>
            <m:t>,ϕ)</m:t>
          </m:r>
          <m:r>
            <m:rPr>
              <m:sty m:val="p"/>
            </m:rPr>
            <w:rPr>
              <w:rFonts w:ascii="Cambria Math" w:hAnsi="Cambria Math"/>
              <w:sz w:val="22"/>
              <w:szCs w:val="22"/>
            </w:rPr>
            <m:t>,</m:t>
          </m:r>
          <m:r>
            <w:rPr>
              <w:rFonts w:ascii="Cambria Math" w:hAnsi="Cambria Math"/>
              <w:sz w:val="22"/>
              <w:szCs w:val="22"/>
            </w:rPr>
            <m:t> </m:t>
          </m:r>
          <m:r>
            <m:rPr>
              <m:sty m:val="p"/>
            </m:rPr>
            <w:rPr>
              <w:rFonts w:ascii="Cambria Math" w:hAnsi="Cambria Math"/>
              <w:sz w:val="22"/>
              <w:szCs w:val="22"/>
            </w:rPr>
            <m:t>log</m:t>
          </m:r>
          <m:r>
            <m:rPr>
              <m:sty m:val="p"/>
            </m:rPr>
            <w:rPr>
              <w:rFonts w:ascii="Cambria Math" w:hAnsi="Cambria Math"/>
              <w:sz w:val="22"/>
              <w:szCs w:val="22"/>
            </w:rPr>
            <m:t xml:space="preserve"> </m:t>
          </m:r>
          <m:sSub>
            <m:sSubPr>
              <m:ctrlPr>
                <w:rPr>
                  <w:rFonts w:ascii="Cambria Math" w:eastAsiaTheme="minorEastAsia" w:hAnsi="Cambria Math"/>
                  <w:i/>
                  <w:sz w:val="22"/>
                  <w:szCs w:val="22"/>
                </w:rPr>
              </m:ctrlPr>
            </m:sSubPr>
            <m:e>
              <m:acc>
                <m:accPr>
                  <m:ctrlPr>
                    <w:rPr>
                      <w:rFonts w:ascii="Cambria Math" w:eastAsiaTheme="minorEastAsia" w:hAnsi="Cambria Math"/>
                      <w:i/>
                      <w:sz w:val="22"/>
                      <w:szCs w:val="22"/>
                    </w:rPr>
                  </m:ctrlPr>
                </m:accPr>
                <m:e>
                  <m:r>
                    <w:rPr>
                      <w:rFonts w:ascii="Cambria Math" w:eastAsiaTheme="minorEastAsia" w:hAnsi="Cambria Math"/>
                      <w:sz w:val="22"/>
                      <w:szCs w:val="22"/>
                    </w:rPr>
                    <m:t>μ</m:t>
                  </m:r>
                </m:e>
              </m:acc>
            </m:e>
            <m:sub>
              <m:r>
                <w:rPr>
                  <w:rFonts w:ascii="Cambria Math" w:eastAsiaTheme="minorEastAsia" w:hAnsi="Cambria Math"/>
                  <w:sz w:val="22"/>
                  <w:szCs w:val="22"/>
                </w:rPr>
                <m:t>a,t</m:t>
              </m:r>
            </m:sub>
          </m:sSub>
          <m:r>
            <m:rPr>
              <m:sty m:val="p"/>
            </m:rPr>
            <w:rPr>
              <w:rFonts w:ascii="Cambria Math" w:hAnsi="Cambria Math"/>
              <w:sz w:val="22"/>
              <w:szCs w:val="22"/>
            </w:rPr>
            <m:t>=</m:t>
          </m:r>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δ</m:t>
                  </m:r>
                </m:e>
                <m:sub>
                  <m:r>
                    <w:rPr>
                      <w:rFonts w:ascii="Cambria Math" w:hAnsi="Cambria Math"/>
                      <w:sz w:val="22"/>
                      <w:szCs w:val="22"/>
                    </w:rPr>
                    <m:t>t</m:t>
                  </m:r>
                </m:sub>
              </m:sSub>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γ</m:t>
                  </m:r>
                </m:e>
              </m:acc>
            </m:e>
            <m:sub>
              <m:r>
                <w:rPr>
                  <w:rFonts w:ascii="Cambria Math" w:hAnsi="Cambria Math"/>
                  <w:sz w:val="22"/>
                  <w:szCs w:val="22"/>
                </w:rPr>
                <m:t>y</m:t>
              </m:r>
            </m:sub>
          </m:sSub>
          <m:r>
            <m:rPr>
              <m:sty m:val="p"/>
            </m:rPr>
            <w:rPr>
              <w:rFonts w:ascii="Cambria Math" w:hAnsi="Cambria Math"/>
              <w:sz w:val="22"/>
              <w:szCs w:val="22"/>
            </w:rPr>
            <m:t>+log</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oMath>
      </m:oMathPara>
    </w:p>
    <w:p w14:paraId="5946251C" w14:textId="69BC3DA6" w:rsidR="008D710A" w:rsidRPr="00982BCE" w:rsidRDefault="003D3CB4" w:rsidP="003D3CB4">
      <w:pPr>
        <w:pStyle w:val="BodyText"/>
        <w:rPr>
          <w:rFonts w:eastAsiaTheme="minorEastAsia"/>
          <w:sz w:val="22"/>
          <w:szCs w:val="22"/>
        </w:rPr>
      </w:pPr>
      <w:r w:rsidRPr="00982BCE">
        <w:rPr>
          <w:sz w:val="22"/>
          <w:szCs w:val="22"/>
        </w:rPr>
        <w:t>where</w:t>
      </w:r>
      <w:r w:rsidR="00EC686E" w:rsidRPr="00982BCE">
        <w:rPr>
          <w:sz w:val="22"/>
          <w:szCs w:val="22"/>
        </w:rPr>
        <w:t xml:space="preserve"> </w:t>
      </w:r>
      <m:oMath>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δ</m:t>
                </m:r>
              </m:e>
              <m:sub>
                <m:r>
                  <w:rPr>
                    <w:rFonts w:ascii="Cambria Math" w:hAnsi="Cambria Math"/>
                    <w:sz w:val="22"/>
                    <w:szCs w:val="22"/>
                  </w:rPr>
                  <m:t>t</m:t>
                </m:r>
              </m:sub>
            </m:sSub>
          </m:e>
        </m:d>
      </m:oMath>
      <w:r w:rsidR="00EC686E" w:rsidRPr="00982BCE">
        <w:rPr>
          <w:sz w:val="22"/>
          <w:szCs w:val="22"/>
        </w:rPr>
        <w:t xml:space="preserve"> and </w:t>
      </w:r>
      <m:oMath>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oMath>
      <w:r w:rsidR="00EC686E" w:rsidRPr="00982BCE">
        <w:rPr>
          <w:rFonts w:eastAsiaTheme="minorEastAsia"/>
          <w:sz w:val="22"/>
          <w:szCs w:val="22"/>
        </w:rPr>
        <w:t xml:space="preserve"> are </w:t>
      </w:r>
      <w:r w:rsidR="00682F04">
        <w:rPr>
          <w:rFonts w:eastAsiaTheme="minorEastAsia"/>
          <w:sz w:val="22"/>
          <w:szCs w:val="22"/>
        </w:rPr>
        <w:t xml:space="preserve">model </w:t>
      </w:r>
      <w:r w:rsidR="00EC686E" w:rsidRPr="00982BCE">
        <w:rPr>
          <w:rFonts w:eastAsiaTheme="minorEastAsia"/>
          <w:sz w:val="22"/>
          <w:szCs w:val="22"/>
        </w:rPr>
        <w:t xml:space="preserve">posterior </w:t>
      </w:r>
      <w:r w:rsidR="00682F04">
        <w:rPr>
          <w:rFonts w:eastAsiaTheme="minorEastAsia"/>
          <w:sz w:val="22"/>
          <w:szCs w:val="22"/>
        </w:rPr>
        <w:t>draws</w:t>
      </w:r>
      <w:r w:rsidR="00EC686E" w:rsidRPr="00982BCE">
        <w:rPr>
          <w:rFonts w:eastAsiaTheme="minorEastAsia"/>
          <w:sz w:val="22"/>
          <w:szCs w:val="22"/>
        </w:rPr>
        <w:t xml:space="preserve">, while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γ</m:t>
                </m:r>
              </m:e>
            </m:acc>
          </m:e>
          <m:sub>
            <m:r>
              <w:rPr>
                <w:rFonts w:ascii="Cambria Math" w:hAnsi="Cambria Math"/>
                <w:sz w:val="22"/>
                <w:szCs w:val="22"/>
              </w:rPr>
              <m:t>y</m:t>
            </m:r>
          </m:sub>
        </m:sSub>
      </m:oMath>
      <w:r w:rsidR="00EC686E" w:rsidRPr="00982BCE">
        <w:rPr>
          <w:rFonts w:eastAsiaTheme="minorEastAsia"/>
          <w:sz w:val="22"/>
          <w:szCs w:val="22"/>
        </w:rPr>
        <w:t xml:space="preserve"> </w:t>
      </w:r>
      <w:r w:rsidR="00372A4B" w:rsidRPr="00982BCE">
        <w:rPr>
          <w:rFonts w:eastAsiaTheme="minorEastAsia"/>
          <w:sz w:val="22"/>
          <w:szCs w:val="22"/>
        </w:rPr>
        <w:t>is re-sampled using its estimated variance</w:t>
      </w:r>
      <w:r w:rsidR="00F807F8">
        <w:rPr>
          <w:rFonts w:eastAsiaTheme="minorEastAsia"/>
          <w:sz w:val="22"/>
          <w:szCs w:val="22"/>
        </w:rPr>
        <w:t xml:space="preserve">. </w:t>
      </w:r>
      <w:bookmarkStart w:id="0" w:name="national-level"/>
      <w:bookmarkStart w:id="1" w:name="excess-births"/>
      <w:r w:rsidR="00472398" w:rsidRPr="00472398">
        <w:rPr>
          <w:rFonts w:eastAsiaTheme="minorEastAsia"/>
          <w:sz w:val="22"/>
          <w:szCs w:val="22"/>
        </w:rPr>
        <w:t xml:space="preserve">We resample the year effects using their estimated variance rather than posterior draws, </w:t>
      </w:r>
      <w:proofErr w:type="gramStart"/>
      <w:r w:rsidR="00472398" w:rsidRPr="00472398">
        <w:rPr>
          <w:rFonts w:eastAsiaTheme="minorEastAsia"/>
          <w:sz w:val="22"/>
          <w:szCs w:val="22"/>
        </w:rPr>
        <w:t>as using</w:t>
      </w:r>
      <w:proofErr w:type="gramEnd"/>
      <w:r w:rsidR="00472398" w:rsidRPr="00472398">
        <w:rPr>
          <w:rFonts w:eastAsiaTheme="minorEastAsia"/>
          <w:sz w:val="22"/>
          <w:szCs w:val="22"/>
        </w:rPr>
        <w:t xml:space="preserve"> posterior realizations would introduce year-specific deviations and violate the assumption of a constant fertility level over </w:t>
      </w:r>
      <w:r w:rsidR="00472398">
        <w:rPr>
          <w:rFonts w:eastAsiaTheme="minorEastAsia"/>
          <w:sz w:val="22"/>
          <w:szCs w:val="22"/>
        </w:rPr>
        <w:t>year</w:t>
      </w:r>
      <w:r w:rsidR="00472398" w:rsidRPr="00472398">
        <w:rPr>
          <w:rFonts w:eastAsiaTheme="minorEastAsia"/>
          <w:sz w:val="22"/>
          <w:szCs w:val="22"/>
        </w:rPr>
        <w:t>.</w:t>
      </w:r>
    </w:p>
    <w:p w14:paraId="7F84277C" w14:textId="601BD67D" w:rsidR="008D710A" w:rsidRPr="00982BCE" w:rsidRDefault="005529FA" w:rsidP="003D3CB4">
      <w:pPr>
        <w:pStyle w:val="BodyText"/>
        <w:rPr>
          <w:b/>
          <w:bCs/>
          <w:sz w:val="22"/>
          <w:szCs w:val="22"/>
        </w:rPr>
      </w:pPr>
      <w:r w:rsidRPr="00982BCE">
        <w:rPr>
          <w:b/>
          <w:bCs/>
          <w:sz w:val="22"/>
          <w:szCs w:val="22"/>
        </w:rPr>
        <w:lastRenderedPageBreak/>
        <w:t>Excess</w:t>
      </w:r>
      <w:r w:rsidR="008D710A" w:rsidRPr="00982BCE">
        <w:rPr>
          <w:b/>
          <w:bCs/>
          <w:sz w:val="22"/>
          <w:szCs w:val="22"/>
        </w:rPr>
        <w:t xml:space="preserve"> birth</w:t>
      </w:r>
      <w:r w:rsidRPr="00982BCE">
        <w:rPr>
          <w:b/>
          <w:bCs/>
          <w:sz w:val="22"/>
          <w:szCs w:val="22"/>
        </w:rPr>
        <w:t>s</w:t>
      </w:r>
    </w:p>
    <w:p w14:paraId="730A8EEA" w14:textId="283C374F" w:rsidR="008D710A" w:rsidRPr="00982BCE" w:rsidRDefault="003D3CB4" w:rsidP="008D710A">
      <w:pPr>
        <w:pStyle w:val="FirstParagraph"/>
        <w:rPr>
          <w:sz w:val="22"/>
          <w:szCs w:val="22"/>
        </w:rPr>
      </w:pPr>
      <w:r w:rsidRPr="00982BCE">
        <w:rPr>
          <w:sz w:val="22"/>
          <w:szCs w:val="22"/>
        </w:rPr>
        <w:t xml:space="preserve">We then define the absolute and relative excess birth at the national level as </w:t>
      </w:r>
      <w:r w:rsidR="00982BDF">
        <w:rPr>
          <w:sz w:val="22"/>
          <w:szCs w:val="22"/>
        </w:rPr>
        <w:t xml:space="preserve">the </w:t>
      </w:r>
      <w:r w:rsidRPr="00982BCE">
        <w:rPr>
          <w:sz w:val="22"/>
          <w:szCs w:val="22"/>
        </w:rPr>
        <w:t>deviations between observed and expected births:</w:t>
      </w:r>
    </w:p>
    <w:p w14:paraId="7719AEDA" w14:textId="32F9F2D6" w:rsidR="008D710A" w:rsidRPr="00982BCE" w:rsidRDefault="00000000" w:rsidP="008D710A">
      <w:pPr>
        <w:pStyle w:val="BodyText"/>
        <w:rPr>
          <w:sz w:val="22"/>
          <w:szCs w:val="22"/>
        </w:rPr>
      </w:pPr>
      <m:oMathPara>
        <m:oMathParaPr>
          <m:jc m:val="center"/>
        </m:oMathParaPr>
        <m:oMath>
          <m:sSub>
            <m:sSubPr>
              <m:ctrlPr>
                <w:rPr>
                  <w:rFonts w:ascii="Cambria Math" w:hAnsi="Cambria Math"/>
                  <w:sz w:val="22"/>
                  <w:szCs w:val="22"/>
                </w:rPr>
              </m:ctrlPr>
            </m:sSubPr>
            <m:e>
              <m:r>
                <m:rPr>
                  <m:nor/>
                </m:rPr>
                <w:rPr>
                  <w:sz w:val="22"/>
                  <w:szCs w:val="22"/>
                </w:rPr>
                <m:t>Excess</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m:rPr>
                  <m:nor/>
                </m:rPr>
                <w:rPr>
                  <w:sz w:val="22"/>
                  <w:szCs w:val="22"/>
                </w:rPr>
                <m:t>Relative Excess</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num>
            <m:den>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den>
          </m:f>
          <m:r>
            <m:rPr>
              <m:sty m:val="p"/>
            </m:rPr>
            <w:rPr>
              <w:rFonts w:ascii="Cambria Math" w:hAnsi="Cambria Math"/>
              <w:sz w:val="22"/>
              <w:szCs w:val="22"/>
            </w:rPr>
            <m:t>.</m:t>
          </m:r>
        </m:oMath>
      </m:oMathPara>
    </w:p>
    <w:p w14:paraId="4C82EE19" w14:textId="21357A2C" w:rsidR="008D710A" w:rsidRPr="00982BCE" w:rsidRDefault="003D3CB4" w:rsidP="001A49DE">
      <w:pPr>
        <w:pStyle w:val="FirstParagraph"/>
        <w:rPr>
          <w:sz w:val="22"/>
          <w:szCs w:val="22"/>
        </w:rPr>
      </w:pPr>
      <w:bookmarkStart w:id="2" w:name="region-level"/>
      <w:bookmarkEnd w:id="0"/>
      <w:r w:rsidRPr="00982BCE">
        <w:rPr>
          <w:sz w:val="22"/>
          <w:szCs w:val="22"/>
        </w:rPr>
        <w:t xml:space="preserve">To explore at </w:t>
      </w:r>
      <w:r w:rsidR="00982BDF">
        <w:rPr>
          <w:sz w:val="22"/>
          <w:szCs w:val="22"/>
        </w:rPr>
        <w:t xml:space="preserve">a </w:t>
      </w:r>
      <w:r w:rsidRPr="00982BCE">
        <w:rPr>
          <w:sz w:val="22"/>
          <w:szCs w:val="22"/>
        </w:rPr>
        <w:t xml:space="preserve">higher level of granularity (e.g., </w:t>
      </w:r>
      <w:r w:rsidR="001A49DE" w:rsidRPr="00982BCE">
        <w:rPr>
          <w:sz w:val="22"/>
          <w:szCs w:val="22"/>
        </w:rPr>
        <w:t>birth excess by region</w:t>
      </w:r>
      <w:r w:rsidRPr="00982BCE">
        <w:rPr>
          <w:sz w:val="22"/>
          <w:szCs w:val="22"/>
        </w:rPr>
        <w:t xml:space="preserve">), </w:t>
      </w:r>
      <w:r w:rsidR="001A49DE" w:rsidRPr="00982BCE">
        <w:rPr>
          <w:sz w:val="22"/>
          <w:szCs w:val="22"/>
        </w:rPr>
        <w:t>we</w:t>
      </w:r>
      <w:r w:rsidR="008D710A" w:rsidRPr="00982BCE">
        <w:rPr>
          <w:sz w:val="22"/>
          <w:szCs w:val="22"/>
        </w:rPr>
        <w:t xml:space="preserve"> </w:t>
      </w:r>
      <w:r w:rsidR="00982BDF">
        <w:rPr>
          <w:sz w:val="22"/>
          <w:szCs w:val="22"/>
        </w:rPr>
        <w:t>disaggregate</w:t>
      </w:r>
      <w:r w:rsidR="008D710A" w:rsidRPr="00982BCE">
        <w:rPr>
          <w:sz w:val="22"/>
          <w:szCs w:val="22"/>
        </w:rPr>
        <w:t xml:space="preserve"> the national posterior </w:t>
      </w:r>
      <w:r w:rsidR="00982BDF">
        <w:rPr>
          <w:sz w:val="22"/>
          <w:szCs w:val="22"/>
        </w:rPr>
        <w:t>expected</w:t>
      </w:r>
      <w:r w:rsidR="008D710A" w:rsidRPr="00982BCE">
        <w:rPr>
          <w:sz w:val="22"/>
          <w:szCs w:val="22"/>
        </w:rPr>
        <w:t xml:space="preserve"> births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μ</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008D710A" w:rsidRPr="00982BCE">
        <w:rPr>
          <w:sz w:val="22"/>
          <w:szCs w:val="22"/>
        </w:rPr>
        <w:t xml:space="preserve"> across</w:t>
      </w:r>
      <w:r w:rsidR="001A49DE" w:rsidRPr="00982BCE">
        <w:rPr>
          <w:sz w:val="22"/>
          <w:szCs w:val="22"/>
        </w:rPr>
        <w:t xml:space="preserve"> </w:t>
      </w:r>
      <m:oMath>
        <m:r>
          <m:rPr>
            <m:sty m:val="p"/>
          </m:rPr>
          <w:rPr>
            <w:rFonts w:ascii="Cambria Math" w:hAnsi="Cambria Math"/>
            <w:sz w:val="22"/>
            <w:szCs w:val="22"/>
          </w:rPr>
          <m:t>D</m:t>
        </m:r>
      </m:oMath>
      <w:r w:rsidR="008D710A" w:rsidRPr="00982BCE">
        <w:rPr>
          <w:sz w:val="22"/>
          <w:szCs w:val="22"/>
        </w:rPr>
        <w:t xml:space="preserve"> regions using a multinomial distribution:</w:t>
      </w:r>
    </w:p>
    <w:p w14:paraId="55F51584" w14:textId="1AB0DDA8" w:rsidR="008D710A" w:rsidRPr="00982BCE" w:rsidRDefault="00000000" w:rsidP="008D710A">
      <w:pPr>
        <w:pStyle w:val="BodyText"/>
        <w:rPr>
          <w:rFonts w:eastAsiaTheme="minorEastAsia"/>
          <w:sz w:val="22"/>
          <w:szCs w:val="22"/>
        </w:rPr>
      </w:pPr>
      <m:oMathPara>
        <m:oMathParaPr>
          <m:jc m:val="center"/>
        </m:oMathParaP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m:rPr>
              <m:nor/>
            </m:rPr>
            <w:rPr>
              <w:sz w:val="22"/>
              <w:szCs w:val="22"/>
            </w:rPr>
            <m:t>Multinomial</m:t>
          </m:r>
          <m:d>
            <m:dPr>
              <m:ctrlPr>
                <w:rPr>
                  <w:rFonts w:ascii="Cambria Math" w:hAnsi="Cambria Math"/>
                  <w:sz w:val="22"/>
                  <w:szCs w:val="22"/>
                </w:rPr>
              </m:ctrlPr>
            </m:dPr>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e>
          </m:d>
          <m:r>
            <m:rPr>
              <m:sty m:val="p"/>
            </m:rPr>
            <w:rPr>
              <w:rFonts w:ascii="Cambria Math" w:hAnsi="Cambria Math"/>
              <w:sz w:val="22"/>
              <w:szCs w:val="22"/>
            </w:rPr>
            <m:t>,</m:t>
          </m:r>
        </m:oMath>
      </m:oMathPara>
    </w:p>
    <w:p w14:paraId="36473A07" w14:textId="22978BBC" w:rsidR="008D710A" w:rsidRPr="00982BCE" w:rsidRDefault="001A49DE" w:rsidP="00132B83">
      <w:pPr>
        <w:pStyle w:val="BodyText"/>
        <w:rPr>
          <w:sz w:val="22"/>
          <w:szCs w:val="22"/>
        </w:rPr>
      </w:pPr>
      <w:r w:rsidRPr="00982BCE">
        <w:rPr>
          <w:rFonts w:eastAsiaTheme="minorEastAsia"/>
          <w:sz w:val="22"/>
          <w:szCs w:val="22"/>
        </w:rPr>
        <w:t>where</w:t>
      </w:r>
      <w:r w:rsidRPr="00982BCE">
        <w:rPr>
          <w:sz w:val="22"/>
          <w:szCs w:val="22"/>
        </w:rPr>
        <w:t xml:space="preserve">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Pr="00982BCE">
        <w:rPr>
          <w:sz w:val="22"/>
          <w:szCs w:val="22"/>
        </w:rPr>
        <w:t xml:space="preserve"> </w:t>
      </w:r>
      <w:r w:rsidR="00982BDF">
        <w:rPr>
          <w:sz w:val="22"/>
          <w:szCs w:val="22"/>
        </w:rPr>
        <w:t>denotes</w:t>
      </w:r>
      <w:r w:rsidRPr="00982BCE">
        <w:rPr>
          <w:sz w:val="22"/>
          <w:szCs w:val="22"/>
        </w:rPr>
        <w:t xml:space="preserve"> the population </w:t>
      </w:r>
      <w:r w:rsidR="00982BDF">
        <w:rPr>
          <w:sz w:val="22"/>
          <w:szCs w:val="22"/>
        </w:rPr>
        <w:t>share</w:t>
      </w:r>
      <w:r w:rsidRPr="00982BCE">
        <w:rPr>
          <w:sz w:val="22"/>
          <w:szCs w:val="22"/>
        </w:rPr>
        <w:t xml:space="preserve"> of women of </w:t>
      </w:r>
      <w:r w:rsidR="00132B83">
        <w:rPr>
          <w:sz w:val="22"/>
          <w:szCs w:val="22"/>
        </w:rPr>
        <w:t xml:space="preserve">age </w:t>
      </w:r>
      <m:oMath>
        <m:r>
          <w:rPr>
            <w:rFonts w:ascii="Cambria Math" w:hAnsi="Cambria Math"/>
            <w:sz w:val="22"/>
            <w:szCs w:val="22"/>
          </w:rPr>
          <m:t>a</m:t>
        </m:r>
      </m:oMath>
      <w:r w:rsidR="00132B83" w:rsidRPr="00982BCE">
        <w:rPr>
          <w:rFonts w:eastAsiaTheme="minorEastAsia"/>
          <w:sz w:val="22"/>
          <w:szCs w:val="22"/>
        </w:rPr>
        <w:t xml:space="preserve"> </w:t>
      </w:r>
      <w:r w:rsidR="00132B83">
        <w:rPr>
          <w:rFonts w:eastAsiaTheme="minorEastAsia"/>
          <w:sz w:val="22"/>
          <w:szCs w:val="22"/>
        </w:rPr>
        <w:t xml:space="preserve">at month </w:t>
      </w:r>
      <m:oMath>
        <m:r>
          <w:rPr>
            <w:rFonts w:ascii="Cambria Math" w:hAnsi="Cambria Math"/>
            <w:sz w:val="22"/>
            <w:szCs w:val="22"/>
          </w:rPr>
          <m:t>m(t)</m:t>
        </m:r>
      </m:oMath>
      <w:r w:rsidR="00132B83" w:rsidRPr="00982BCE">
        <w:rPr>
          <w:rFonts w:eastAsiaTheme="minorEastAsia"/>
          <w:sz w:val="22"/>
          <w:szCs w:val="22"/>
        </w:rPr>
        <w:t xml:space="preserve"> </w:t>
      </w:r>
      <w:r w:rsidR="00982BDF">
        <w:rPr>
          <w:rFonts w:eastAsiaTheme="minorEastAsia"/>
          <w:sz w:val="22"/>
          <w:szCs w:val="22"/>
        </w:rPr>
        <w:t>across</w:t>
      </w:r>
      <w:r w:rsidRPr="00982BCE">
        <w:rPr>
          <w:rFonts w:eastAsiaTheme="minorEastAsia"/>
          <w:sz w:val="22"/>
          <w:szCs w:val="22"/>
        </w:rPr>
        <w:t xml:space="preserve"> </w:t>
      </w:r>
      <w:r w:rsidR="0075011E" w:rsidRPr="00982BCE">
        <w:rPr>
          <w:rFonts w:eastAsiaTheme="minorEastAsia"/>
          <w:sz w:val="22"/>
          <w:szCs w:val="22"/>
        </w:rPr>
        <w:t>regions</w:t>
      </w:r>
      <w:r w:rsidR="00132B83">
        <w:rPr>
          <w:rFonts w:eastAsiaTheme="minorEastAsia"/>
          <w:sz w:val="22"/>
          <w:szCs w:val="22"/>
        </w:rPr>
        <w:t>:</w:t>
      </w:r>
    </w:p>
    <w:p w14:paraId="6589E68C" w14:textId="18849F0C" w:rsidR="008D710A" w:rsidRPr="00982BCE" w:rsidRDefault="00000000" w:rsidP="008D710A">
      <w:pPr>
        <w:pStyle w:val="BodyText"/>
        <w:rPr>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num>
            <m:den>
              <m:nary>
                <m:naryPr>
                  <m:chr m:val="∑"/>
                  <m:limLoc m:val="undOvr"/>
                  <m:supHide m:val="1"/>
                  <m:ctrlPr>
                    <w:rPr>
                      <w:rFonts w:ascii="Cambria Math" w:hAnsi="Cambria Math"/>
                      <w:sz w:val="22"/>
                      <w:szCs w:val="22"/>
                    </w:rPr>
                  </m:ctrlPr>
                </m:naryPr>
                <m:sub>
                  <m:r>
                    <w:rPr>
                      <w:rFonts w:ascii="Cambria Math" w:hAnsi="Cambria Math"/>
                      <w:sz w:val="22"/>
                      <w:szCs w:val="22"/>
                    </w:rPr>
                    <m:t>d</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e>
              </m:nary>
            </m:den>
          </m:f>
          <m:r>
            <m:rPr>
              <m:sty m:val="p"/>
            </m:rPr>
            <w:rPr>
              <w:rFonts w:ascii="Cambria Math" w:hAnsi="Cambria Math"/>
              <w:sz w:val="22"/>
              <w:szCs w:val="22"/>
            </w:rPr>
            <m:t>.</m:t>
          </m:r>
        </m:oMath>
      </m:oMathPara>
    </w:p>
    <w:p w14:paraId="765E780D" w14:textId="1073F8D4" w:rsidR="008D710A" w:rsidRPr="00982BCE" w:rsidRDefault="008D710A" w:rsidP="008D710A">
      <w:pPr>
        <w:pStyle w:val="FirstParagraph"/>
        <w:rPr>
          <w:sz w:val="22"/>
          <w:szCs w:val="22"/>
        </w:rPr>
      </w:pPr>
      <w:r w:rsidRPr="00982BCE">
        <w:rPr>
          <w:sz w:val="22"/>
          <w:szCs w:val="22"/>
        </w:rPr>
        <w:t xml:space="preserve">The regional excess is </w:t>
      </w:r>
      <w:r w:rsidR="00982BDF">
        <w:rPr>
          <w:sz w:val="22"/>
          <w:szCs w:val="22"/>
        </w:rPr>
        <w:t>defined as</w:t>
      </w:r>
      <w:r w:rsidRPr="00982BCE">
        <w:rPr>
          <w:sz w:val="22"/>
          <w:szCs w:val="22"/>
        </w:rPr>
        <w:t>:</w:t>
      </w:r>
    </w:p>
    <w:p w14:paraId="213079D8" w14:textId="47A919D1" w:rsidR="008D710A" w:rsidRPr="00982BCE" w:rsidRDefault="00000000" w:rsidP="008D710A">
      <w:pPr>
        <w:pStyle w:val="BodyText"/>
        <w:rPr>
          <w:sz w:val="22"/>
          <w:szCs w:val="22"/>
        </w:rPr>
      </w:pPr>
      <m:oMathPara>
        <m:oMathParaPr>
          <m:jc m:val="center"/>
        </m:oMathParaPr>
        <m:oMath>
          <m:sSub>
            <m:sSubPr>
              <m:ctrlPr>
                <w:rPr>
                  <w:rFonts w:ascii="Cambria Math" w:hAnsi="Cambria Math"/>
                  <w:sz w:val="22"/>
                  <w:szCs w:val="22"/>
                </w:rPr>
              </m:ctrlPr>
            </m:sSubPr>
            <m:e>
              <m:r>
                <m:rPr>
                  <m:nor/>
                </m:rPr>
                <w:rPr>
                  <w:sz w:val="22"/>
                  <w:szCs w:val="22"/>
                </w:rPr>
                <m:t>Excess</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m:rPr>
                  <m:nor/>
                </m:rPr>
                <w:rPr>
                  <w:sz w:val="22"/>
                  <w:szCs w:val="22"/>
                </w:rPr>
                <m:t>Relative Excess</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num>
            <m:den>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den>
          </m:f>
          <m:r>
            <m:rPr>
              <m:sty m:val="p"/>
            </m:rPr>
            <w:rPr>
              <w:rFonts w:ascii="Cambria Math" w:hAnsi="Cambria Math"/>
              <w:sz w:val="22"/>
              <w:szCs w:val="22"/>
            </w:rPr>
            <m:t>.</m:t>
          </m:r>
        </m:oMath>
      </m:oMathPara>
    </w:p>
    <w:p w14:paraId="0AA0D985" w14:textId="77777777" w:rsidR="00982BDF" w:rsidRDefault="00982BDF" w:rsidP="005529FA">
      <w:pPr>
        <w:pStyle w:val="BodyText"/>
        <w:rPr>
          <w:sz w:val="22"/>
          <w:szCs w:val="22"/>
        </w:rPr>
      </w:pPr>
      <w:r w:rsidRPr="00982BDF">
        <w:rPr>
          <w:sz w:val="22"/>
          <w:szCs w:val="22"/>
        </w:rPr>
        <w:t>Similar calculations were performed to obtain excess births by maternal nationality, distinguishing between Swiss and non-Swiss mothers, as well as by broader world regions (Switzerland, Western Europe excluding Switzerland, Eastern Europe, North America, Central America, South America, Africa, Asia, and Oceania).</w:t>
      </w:r>
    </w:p>
    <w:p w14:paraId="59C6D46E" w14:textId="0175433B" w:rsidR="005529FA" w:rsidRDefault="005529FA" w:rsidP="005529FA">
      <w:pPr>
        <w:pStyle w:val="BodyText"/>
        <w:rPr>
          <w:b/>
          <w:bCs/>
          <w:sz w:val="22"/>
          <w:szCs w:val="22"/>
        </w:rPr>
      </w:pPr>
      <w:r w:rsidRPr="00982BCE">
        <w:rPr>
          <w:b/>
          <w:bCs/>
          <w:sz w:val="22"/>
          <w:szCs w:val="22"/>
        </w:rPr>
        <w:t>Excess birth stratified by covariates deciles</w:t>
      </w:r>
    </w:p>
    <w:p w14:paraId="05D4D6B3" w14:textId="77777777" w:rsidR="003404ED" w:rsidRDefault="003404ED" w:rsidP="005529FA">
      <w:pPr>
        <w:pStyle w:val="BodyText"/>
        <w:rPr>
          <w:sz w:val="22"/>
          <w:szCs w:val="22"/>
        </w:rPr>
      </w:pPr>
      <w:r w:rsidRPr="003404ED">
        <w:rPr>
          <w:sz w:val="22"/>
          <w:szCs w:val="22"/>
        </w:rPr>
        <w:t xml:space="preserve">We further examine excess births according to a range of municipality-level variables. For each variable, municipalities are ordered by their value and sequentially grouped into ten population-based deciles, such that each group contains approximately 10% of the total population (municipalities are added until the cumulative population exceeds each decile threshold). We then </w:t>
      </w:r>
      <w:proofErr w:type="spellStart"/>
      <w:r w:rsidRPr="003404ED">
        <w:rPr>
          <w:sz w:val="22"/>
          <w:szCs w:val="22"/>
        </w:rPr>
        <w:t>summarise</w:t>
      </w:r>
      <w:proofErr w:type="spellEnd"/>
      <w:r w:rsidRPr="003404ED">
        <w:rPr>
          <w:sz w:val="22"/>
          <w:szCs w:val="22"/>
        </w:rPr>
        <w:t xml:space="preserve"> the posterior distribution of relative excess births within each decile over the period 2017–2024.</w:t>
      </w:r>
    </w:p>
    <w:p w14:paraId="69AA4A09" w14:textId="57983923" w:rsidR="005529FA" w:rsidRPr="00982BCE" w:rsidRDefault="005529FA" w:rsidP="005529FA">
      <w:pPr>
        <w:pStyle w:val="BodyText"/>
        <w:rPr>
          <w:b/>
          <w:bCs/>
          <w:sz w:val="22"/>
          <w:szCs w:val="22"/>
        </w:rPr>
      </w:pPr>
      <w:r w:rsidRPr="00982BCE">
        <w:rPr>
          <w:b/>
          <w:bCs/>
          <w:sz w:val="22"/>
          <w:szCs w:val="22"/>
        </w:rPr>
        <w:t>Sub-group analysis</w:t>
      </w:r>
    </w:p>
    <w:bookmarkEnd w:id="1"/>
    <w:bookmarkEnd w:id="2"/>
    <w:p w14:paraId="66815EB7" w14:textId="77777777" w:rsidR="003404ED" w:rsidRDefault="003404ED">
      <w:pPr>
        <w:rPr>
          <w:lang w:val="en-US"/>
        </w:rPr>
      </w:pPr>
      <w:r w:rsidRPr="003404ED">
        <w:rPr>
          <w:lang w:val="en-US"/>
        </w:rPr>
        <w:t>We conducted two subgroup analyses. First, we stratified results by nationality, distinguishing between Swiss and non-Swiss mothers. Second, we stratified births by parity, separating first births from higher-order births. For each analysis, the model was re-estimated and excess births recomputed using the corresponding number of births and population denominators.</w:t>
      </w:r>
    </w:p>
    <w:p w14:paraId="55946CBF" w14:textId="7FF72596" w:rsidR="001D488C" w:rsidRDefault="008F6152" w:rsidP="008F6152">
      <w:pPr>
        <w:rPr>
          <w:lang w:val="en-US"/>
        </w:rPr>
      </w:pPr>
      <w:r w:rsidRPr="002448D2">
        <w:rPr>
          <w:lang w:val="en-US"/>
        </w:rPr>
        <w:t xml:space="preserve">For the parity-based analyses, we could not adjust </w:t>
      </w:r>
      <w:proofErr w:type="gramStart"/>
      <w:r w:rsidRPr="002448D2">
        <w:rPr>
          <w:lang w:val="en-US"/>
        </w:rPr>
        <w:t>for</w:t>
      </w:r>
      <w:proofErr w:type="gramEnd"/>
      <w:r w:rsidRPr="002448D2">
        <w:rPr>
          <w:lang w:val="en-US"/>
        </w:rPr>
        <w:t xml:space="preserve"> the relevant population denominator, as population counts by parity (i.e. number of children) were not available.</w:t>
      </w:r>
      <w:r>
        <w:rPr>
          <w:lang w:val="en-US"/>
        </w:rPr>
        <w:t xml:space="preserve"> We thus fit the model using the total female population aged 15-50, which slightly modify the fertility function. It should thus be interpreted as the proportion of women having their first child </w:t>
      </w:r>
      <w:proofErr w:type="gramStart"/>
      <w:r>
        <w:rPr>
          <w:lang w:val="en-US"/>
        </w:rPr>
        <w:t>in a given</w:t>
      </w:r>
      <w:proofErr w:type="gramEnd"/>
      <w:r>
        <w:rPr>
          <w:lang w:val="en-US"/>
        </w:rPr>
        <w:t xml:space="preserve"> month rather than a probability, </w:t>
      </w:r>
      <w:r w:rsidRPr="003404ED">
        <w:rPr>
          <w:lang w:val="en-US"/>
        </w:rPr>
        <w:t>and similarly for higher-order birth</w:t>
      </w:r>
      <w:r>
        <w:rPr>
          <w:lang w:val="en-US"/>
        </w:rPr>
        <w:t xml:space="preserve"> analysis. As a limitation, we could not adjust </w:t>
      </w:r>
      <w:proofErr w:type="gramStart"/>
      <w:r>
        <w:rPr>
          <w:lang w:val="en-US"/>
        </w:rPr>
        <w:t>for</w:t>
      </w:r>
      <w:proofErr w:type="gramEnd"/>
      <w:r>
        <w:rPr>
          <w:lang w:val="en-US"/>
        </w:rPr>
        <w:t xml:space="preserve"> temporal changes in the proportion of childlessness that might explain variation in the excess births first- or higher-order children nationally. Nevertheless, we could account for spatial differences in the proportion of childlessness that affect </w:t>
      </w:r>
      <w:r w:rsidRPr="003404ED">
        <w:rPr>
          <w:lang w:val="en-US"/>
        </w:rPr>
        <w:t xml:space="preserve">the municipality-level </w:t>
      </w:r>
      <w:r>
        <w:rPr>
          <w:lang w:val="en-US"/>
        </w:rPr>
        <w:t xml:space="preserve">first-birth </w:t>
      </w:r>
      <w:r w:rsidRPr="003404ED">
        <w:rPr>
          <w:lang w:val="en-US"/>
        </w:rPr>
        <w:t xml:space="preserve">excess calculation by introducing an estimated </w:t>
      </w:r>
      <w:r>
        <w:rPr>
          <w:lang w:val="en-US"/>
        </w:rPr>
        <w:t>share</w:t>
      </w:r>
      <w:r w:rsidRPr="003404ED">
        <w:rPr>
          <w:lang w:val="en-US"/>
        </w:rPr>
        <w:t xml:space="preserve"> of childless women into the multinomial allocation</w:t>
      </w:r>
      <w:r>
        <w:rPr>
          <w:lang w:val="en-US"/>
        </w:rPr>
        <w:t xml:space="preserve">. </w:t>
      </w:r>
      <w:r w:rsidRPr="003404ED">
        <w:rPr>
          <w:lang w:val="en-US"/>
        </w:rPr>
        <w:t>This share was reconstructed for each municipality using birth records from 2000–2024, by inferring age-specific childlessness from observed first births and population counts</w:t>
      </w:r>
      <w:r>
        <w:rPr>
          <w:lang w:val="en-US"/>
        </w:rPr>
        <w:t xml:space="preserve"> </w:t>
      </w:r>
      <w:r>
        <w:rPr>
          <w:lang w:val="en-US"/>
        </w:rPr>
        <w:lastRenderedPageBreak/>
        <w:t>(see Supplementary Material XX for detail</w:t>
      </w:r>
      <w:r>
        <w:rPr>
          <w:lang w:val="en-US"/>
        </w:rPr>
        <w:t xml:space="preserve">). </w:t>
      </w:r>
      <w:r>
        <w:rPr>
          <w:lang w:val="en-US"/>
        </w:rPr>
        <w:t xml:space="preserve">Similar adjustments were </w:t>
      </w:r>
      <w:proofErr w:type="gramStart"/>
      <w:r>
        <w:rPr>
          <w:lang w:val="en-US"/>
        </w:rPr>
        <w:t>done</w:t>
      </w:r>
      <w:proofErr w:type="gramEnd"/>
      <w:r>
        <w:rPr>
          <w:lang w:val="en-US"/>
        </w:rPr>
        <w:t xml:space="preserve"> for the higher-order child analysis. </w:t>
      </w:r>
      <w:r w:rsidR="001D488C">
        <w:rPr>
          <w:lang w:val="en-US"/>
        </w:rPr>
        <w:br w:type="page"/>
      </w:r>
    </w:p>
    <w:p w14:paraId="291529FC" w14:textId="2B478B35" w:rsidR="005529FA" w:rsidRDefault="001D488C">
      <w:pPr>
        <w:rPr>
          <w:lang w:val="en-US"/>
        </w:rPr>
      </w:pPr>
      <w:r>
        <w:rPr>
          <w:lang w:val="en-US"/>
        </w:rPr>
        <w:lastRenderedPageBreak/>
        <w:t>Results</w:t>
      </w:r>
    </w:p>
    <w:p w14:paraId="0826E7EF" w14:textId="4BADBD40" w:rsidR="001D488C" w:rsidRDefault="00E56C3F">
      <w:pPr>
        <w:rPr>
          <w:lang w:val="en-US"/>
        </w:rPr>
      </w:pPr>
      <w:r>
        <w:rPr>
          <w:lang w:val="en-US"/>
        </w:rPr>
        <w:t>Model parameters</w:t>
      </w:r>
    </w:p>
    <w:p w14:paraId="2B34A810" w14:textId="77777777" w:rsidR="00E56C3F" w:rsidRDefault="00E56C3F" w:rsidP="00E56C3F">
      <w:pPr>
        <w:pStyle w:val="ListParagraph"/>
        <w:numPr>
          <w:ilvl w:val="0"/>
          <w:numId w:val="3"/>
        </w:numPr>
        <w:rPr>
          <w:lang w:val="en-US"/>
        </w:rPr>
      </w:pPr>
      <w:r>
        <w:rPr>
          <w:lang w:val="en-US"/>
        </w:rPr>
        <w:t xml:space="preserve">Fertility curve: </w:t>
      </w:r>
    </w:p>
    <w:p w14:paraId="5370111F" w14:textId="6868A5A4" w:rsidR="00E56C3F" w:rsidRDefault="00E56C3F" w:rsidP="00E56C3F">
      <w:pPr>
        <w:pStyle w:val="ListParagraph"/>
        <w:numPr>
          <w:ilvl w:val="1"/>
          <w:numId w:val="3"/>
        </w:numPr>
        <w:rPr>
          <w:lang w:val="en-US"/>
        </w:rPr>
      </w:pPr>
      <w:r>
        <w:rPr>
          <w:lang w:val="en-US"/>
        </w:rPr>
        <w:t>Peak at XX</w:t>
      </w:r>
    </w:p>
    <w:p w14:paraId="78298A75" w14:textId="6714FCD7" w:rsidR="00E56C3F" w:rsidRDefault="00E56C3F" w:rsidP="00E56C3F">
      <w:pPr>
        <w:pStyle w:val="ListParagraph"/>
        <w:numPr>
          <w:ilvl w:val="1"/>
          <w:numId w:val="3"/>
        </w:numPr>
        <w:rPr>
          <w:lang w:val="en-US"/>
        </w:rPr>
      </w:pPr>
      <w:r>
        <w:rPr>
          <w:lang w:val="en-US"/>
        </w:rPr>
        <w:t>shift over time to older age</w:t>
      </w:r>
    </w:p>
    <w:p w14:paraId="60D4B2E4" w14:textId="0664D0B4" w:rsidR="00E56C3F" w:rsidRDefault="00E56C3F" w:rsidP="00E56C3F">
      <w:pPr>
        <w:pStyle w:val="ListParagraph"/>
        <w:numPr>
          <w:ilvl w:val="0"/>
          <w:numId w:val="3"/>
        </w:numPr>
        <w:rPr>
          <w:lang w:val="en-US"/>
        </w:rPr>
      </w:pPr>
      <w:r>
        <w:rPr>
          <w:lang w:val="en-US"/>
        </w:rPr>
        <w:t>Excess birth</w:t>
      </w:r>
      <w:r w:rsidR="00941CA6">
        <w:rPr>
          <w:lang w:val="en-US"/>
        </w:rPr>
        <w:t xml:space="preserve"> at national level</w:t>
      </w:r>
    </w:p>
    <w:p w14:paraId="0161A7F0" w14:textId="4C665E65" w:rsidR="00E56C3F" w:rsidRDefault="00E56C3F" w:rsidP="00E56C3F">
      <w:pPr>
        <w:pStyle w:val="ListParagraph"/>
        <w:numPr>
          <w:ilvl w:val="1"/>
          <w:numId w:val="3"/>
        </w:numPr>
        <w:rPr>
          <w:lang w:val="en-US"/>
        </w:rPr>
      </w:pPr>
      <w:r>
        <w:rPr>
          <w:lang w:val="en-US"/>
        </w:rPr>
        <w:t>Continuous decrease from 2017, except from 2021</w:t>
      </w:r>
    </w:p>
    <w:p w14:paraId="63286BF5" w14:textId="3E697407" w:rsidR="00941CA6" w:rsidRDefault="00E56C3F" w:rsidP="00941CA6">
      <w:pPr>
        <w:pStyle w:val="ListParagraph"/>
        <w:numPr>
          <w:ilvl w:val="1"/>
          <w:numId w:val="3"/>
        </w:numPr>
        <w:rPr>
          <w:lang w:val="en-US"/>
        </w:rPr>
      </w:pPr>
      <w:r>
        <w:rPr>
          <w:lang w:val="en-US"/>
        </w:rPr>
        <w:t>Two peaks in</w:t>
      </w:r>
      <w:r w:rsidR="00941CA6">
        <w:rPr>
          <w:lang w:val="en-US"/>
        </w:rPr>
        <w:t xml:space="preserve"> 2021, corresponding to 10/11 month shifted COVID-19 phases</w:t>
      </w:r>
    </w:p>
    <w:p w14:paraId="67B08F48" w14:textId="4DB5FF03" w:rsidR="00941CA6" w:rsidRDefault="00941CA6" w:rsidP="00941CA6">
      <w:pPr>
        <w:pStyle w:val="ListParagraph"/>
        <w:numPr>
          <w:ilvl w:val="0"/>
          <w:numId w:val="3"/>
        </w:numPr>
        <w:rPr>
          <w:lang w:val="en-US"/>
        </w:rPr>
      </w:pPr>
      <w:r>
        <w:rPr>
          <w:lang w:val="en-US"/>
        </w:rPr>
        <w:t>Geographical variation (2017-2024)</w:t>
      </w:r>
    </w:p>
    <w:p w14:paraId="2DD78BA1" w14:textId="519A80DB" w:rsidR="00941CA6" w:rsidRDefault="00941CA6" w:rsidP="00941CA6">
      <w:pPr>
        <w:pStyle w:val="ListParagraph"/>
        <w:numPr>
          <w:ilvl w:val="1"/>
          <w:numId w:val="3"/>
        </w:numPr>
        <w:rPr>
          <w:lang w:val="en-US"/>
        </w:rPr>
      </w:pPr>
      <w:r>
        <w:rPr>
          <w:lang w:val="en-US"/>
        </w:rPr>
        <w:t>Decrease in cities, some areas of South of Switzerland (Ticino, Grisons, Valais)</w:t>
      </w:r>
    </w:p>
    <w:p w14:paraId="3237FBCE" w14:textId="3E6DB90F" w:rsidR="00941CA6" w:rsidRDefault="00941CA6" w:rsidP="00941CA6">
      <w:pPr>
        <w:pStyle w:val="ListParagraph"/>
        <w:numPr>
          <w:ilvl w:val="1"/>
          <w:numId w:val="3"/>
        </w:numPr>
        <w:rPr>
          <w:lang w:val="en-US"/>
        </w:rPr>
      </w:pPr>
      <w:r>
        <w:rPr>
          <w:lang w:val="en-US"/>
        </w:rPr>
        <w:t>Peripheric area with higher fertility</w:t>
      </w:r>
    </w:p>
    <w:p w14:paraId="3C07C768" w14:textId="6BA5B962" w:rsidR="00941CA6" w:rsidRDefault="00941CA6" w:rsidP="00941CA6">
      <w:pPr>
        <w:pStyle w:val="ListParagraph"/>
        <w:numPr>
          <w:ilvl w:val="0"/>
          <w:numId w:val="3"/>
        </w:numPr>
        <w:rPr>
          <w:lang w:val="en-US"/>
        </w:rPr>
      </w:pPr>
      <w:r>
        <w:rPr>
          <w:lang w:val="en-US"/>
        </w:rPr>
        <w:t>Excess according to municipality-level covariates</w:t>
      </w:r>
    </w:p>
    <w:p w14:paraId="75074EAB" w14:textId="4B529891" w:rsidR="00941CA6" w:rsidRDefault="00941CA6" w:rsidP="00941CA6">
      <w:pPr>
        <w:pStyle w:val="ListParagraph"/>
        <w:numPr>
          <w:ilvl w:val="1"/>
          <w:numId w:val="3"/>
        </w:numPr>
        <w:rPr>
          <w:lang w:val="en-US"/>
        </w:rPr>
      </w:pPr>
      <w:r>
        <w:rPr>
          <w:lang w:val="en-US"/>
        </w:rPr>
        <w:t>Decrease with population density</w:t>
      </w:r>
      <w:r w:rsidR="00765E2A">
        <w:rPr>
          <w:lang w:val="en-US"/>
        </w:rPr>
        <w:t xml:space="preserve"> (more marked for Swiss women, for non-Swiss effect only in big cities)</w:t>
      </w:r>
    </w:p>
    <w:p w14:paraId="3C1ED04F" w14:textId="79B1E296" w:rsidR="00941CA6" w:rsidRDefault="00941CA6" w:rsidP="00941CA6">
      <w:pPr>
        <w:pStyle w:val="ListParagraph"/>
        <w:numPr>
          <w:ilvl w:val="1"/>
          <w:numId w:val="3"/>
        </w:numPr>
        <w:rPr>
          <w:lang w:val="en-US"/>
        </w:rPr>
      </w:pPr>
      <w:r>
        <w:rPr>
          <w:lang w:val="en-US"/>
        </w:rPr>
        <w:t>SEP: higher increase in ppl with low SEP (last decile, especially among</w:t>
      </w:r>
      <w:r w:rsidR="00765E2A">
        <w:rPr>
          <w:lang w:val="en-US"/>
        </w:rPr>
        <w:t xml:space="preserve"> non-Swiss women)</w:t>
      </w:r>
    </w:p>
    <w:p w14:paraId="1911933C" w14:textId="10A248A9" w:rsidR="00106D0D" w:rsidRDefault="00106D0D" w:rsidP="00941CA6">
      <w:pPr>
        <w:pStyle w:val="ListParagraph"/>
        <w:numPr>
          <w:ilvl w:val="1"/>
          <w:numId w:val="3"/>
        </w:numPr>
        <w:rPr>
          <w:lang w:val="en-US"/>
        </w:rPr>
      </w:pPr>
      <w:proofErr w:type="spellStart"/>
      <w:r>
        <w:rPr>
          <w:lang w:val="en-US"/>
        </w:rPr>
        <w:t>Votation</w:t>
      </w:r>
      <w:proofErr w:type="spellEnd"/>
      <w:r w:rsidR="00CA657F">
        <w:rPr>
          <w:lang w:val="en-US"/>
        </w:rPr>
        <w:t>: no effect (correlated with population density)</w:t>
      </w:r>
    </w:p>
    <w:p w14:paraId="36F8AA35" w14:textId="63F3EA34" w:rsidR="00CA657F" w:rsidRDefault="00CA657F" w:rsidP="00C34C5E">
      <w:pPr>
        <w:pStyle w:val="ListParagraph"/>
        <w:numPr>
          <w:ilvl w:val="1"/>
          <w:numId w:val="3"/>
        </w:numPr>
        <w:rPr>
          <w:lang w:val="en-US"/>
        </w:rPr>
      </w:pPr>
      <w:r w:rsidRPr="00CA657F">
        <w:rPr>
          <w:lang w:val="en-US"/>
        </w:rPr>
        <w:t>Childcare</w:t>
      </w:r>
      <w:proofErr w:type="gramStart"/>
      <w:r w:rsidRPr="00CA657F">
        <w:rPr>
          <w:lang w:val="en-US"/>
        </w:rPr>
        <w:t xml:space="preserve">: </w:t>
      </w:r>
      <w:r>
        <w:rPr>
          <w:lang w:val="en-US"/>
        </w:rPr>
        <w:t>:</w:t>
      </w:r>
      <w:proofErr w:type="gramEnd"/>
      <w:r>
        <w:rPr>
          <w:lang w:val="en-US"/>
        </w:rPr>
        <w:t xml:space="preserve"> no effect (correlated with population density)</w:t>
      </w:r>
    </w:p>
    <w:p w14:paraId="29C5FD42" w14:textId="7418202B" w:rsidR="00CA657F" w:rsidRPr="00941CA6" w:rsidRDefault="00CA657F" w:rsidP="00C34C5E">
      <w:pPr>
        <w:pStyle w:val="ListParagraph"/>
        <w:numPr>
          <w:ilvl w:val="1"/>
          <w:numId w:val="3"/>
        </w:numPr>
        <w:rPr>
          <w:lang w:val="en-US"/>
        </w:rPr>
      </w:pPr>
      <w:r>
        <w:rPr>
          <w:lang w:val="en-US"/>
        </w:rPr>
        <w:t xml:space="preserve">Bump in 2021 </w:t>
      </w:r>
      <w:proofErr w:type="gramStart"/>
      <w:r>
        <w:rPr>
          <w:lang w:val="en-US"/>
        </w:rPr>
        <w:t>mostly</w:t>
      </w:r>
      <w:proofErr w:type="gramEnd"/>
      <w:r>
        <w:rPr>
          <w:lang w:val="en-US"/>
        </w:rPr>
        <w:t xml:space="preserve"> visible in low density region (no temporal increase in cities)</w:t>
      </w:r>
    </w:p>
    <w:sectPr w:rsidR="00CA657F" w:rsidRPr="00941CA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11029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59C8050F"/>
    <w:multiLevelType w:val="hybridMultilevel"/>
    <w:tmpl w:val="9A30C8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5C950B4B"/>
    <w:multiLevelType w:val="hybridMultilevel"/>
    <w:tmpl w:val="DDCA47DA"/>
    <w:lvl w:ilvl="0" w:tplc="C3FC295A">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758791827">
    <w:abstractNumId w:val="0"/>
  </w:num>
  <w:num w:numId="2" w16cid:durableId="872889082">
    <w:abstractNumId w:val="1"/>
  </w:num>
  <w:num w:numId="3" w16cid:durableId="758300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10A"/>
    <w:rsid w:val="000937CA"/>
    <w:rsid w:val="000C22A2"/>
    <w:rsid w:val="00106D0D"/>
    <w:rsid w:val="00132B83"/>
    <w:rsid w:val="001A49DE"/>
    <w:rsid w:val="001D488C"/>
    <w:rsid w:val="001D6D63"/>
    <w:rsid w:val="002448D2"/>
    <w:rsid w:val="003404ED"/>
    <w:rsid w:val="00372A4B"/>
    <w:rsid w:val="003D3CB4"/>
    <w:rsid w:val="003F7A95"/>
    <w:rsid w:val="0041636E"/>
    <w:rsid w:val="00417211"/>
    <w:rsid w:val="004662D9"/>
    <w:rsid w:val="00472398"/>
    <w:rsid w:val="004B1943"/>
    <w:rsid w:val="004D705F"/>
    <w:rsid w:val="004D7748"/>
    <w:rsid w:val="0050217D"/>
    <w:rsid w:val="00533486"/>
    <w:rsid w:val="00536858"/>
    <w:rsid w:val="005529FA"/>
    <w:rsid w:val="005535CE"/>
    <w:rsid w:val="005A663A"/>
    <w:rsid w:val="00646A53"/>
    <w:rsid w:val="00682F04"/>
    <w:rsid w:val="00696BBC"/>
    <w:rsid w:val="00714FC6"/>
    <w:rsid w:val="0075011E"/>
    <w:rsid w:val="00765E2A"/>
    <w:rsid w:val="007A0A6B"/>
    <w:rsid w:val="00813878"/>
    <w:rsid w:val="008D710A"/>
    <w:rsid w:val="008F5173"/>
    <w:rsid w:val="008F6152"/>
    <w:rsid w:val="00941CA6"/>
    <w:rsid w:val="00982BCE"/>
    <w:rsid w:val="00982BDF"/>
    <w:rsid w:val="00A15747"/>
    <w:rsid w:val="00A35C07"/>
    <w:rsid w:val="00B24AA8"/>
    <w:rsid w:val="00C95EB9"/>
    <w:rsid w:val="00CA5EC1"/>
    <w:rsid w:val="00CA657F"/>
    <w:rsid w:val="00CF04D1"/>
    <w:rsid w:val="00D317A4"/>
    <w:rsid w:val="00D52A6D"/>
    <w:rsid w:val="00DA7764"/>
    <w:rsid w:val="00E56C3F"/>
    <w:rsid w:val="00E56EC7"/>
    <w:rsid w:val="00E77C3C"/>
    <w:rsid w:val="00E93D0B"/>
    <w:rsid w:val="00EC686E"/>
    <w:rsid w:val="00F54DE5"/>
    <w:rsid w:val="00F807F8"/>
    <w:rsid w:val="00FF67E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F6EC1"/>
  <w15:chartTrackingRefBased/>
  <w15:docId w15:val="{5625235D-601C-4ED8-ADE4-965E279FB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1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71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71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1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1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1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1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1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1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1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71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71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71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1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1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1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1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10A"/>
    <w:rPr>
      <w:rFonts w:eastAsiaTheme="majorEastAsia" w:cstheme="majorBidi"/>
      <w:color w:val="272727" w:themeColor="text1" w:themeTint="D8"/>
    </w:rPr>
  </w:style>
  <w:style w:type="paragraph" w:styleId="Title">
    <w:name w:val="Title"/>
    <w:basedOn w:val="Normal"/>
    <w:next w:val="Normal"/>
    <w:link w:val="TitleChar"/>
    <w:uiPriority w:val="10"/>
    <w:qFormat/>
    <w:rsid w:val="008D71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1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1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1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10A"/>
    <w:pPr>
      <w:spacing w:before="160"/>
      <w:jc w:val="center"/>
    </w:pPr>
    <w:rPr>
      <w:i/>
      <w:iCs/>
      <w:color w:val="404040" w:themeColor="text1" w:themeTint="BF"/>
    </w:rPr>
  </w:style>
  <w:style w:type="character" w:customStyle="1" w:styleId="QuoteChar">
    <w:name w:val="Quote Char"/>
    <w:basedOn w:val="DefaultParagraphFont"/>
    <w:link w:val="Quote"/>
    <w:uiPriority w:val="29"/>
    <w:rsid w:val="008D710A"/>
    <w:rPr>
      <w:i/>
      <w:iCs/>
      <w:color w:val="404040" w:themeColor="text1" w:themeTint="BF"/>
    </w:rPr>
  </w:style>
  <w:style w:type="paragraph" w:styleId="ListParagraph">
    <w:name w:val="List Paragraph"/>
    <w:basedOn w:val="Normal"/>
    <w:uiPriority w:val="34"/>
    <w:qFormat/>
    <w:rsid w:val="008D710A"/>
    <w:pPr>
      <w:ind w:left="720"/>
      <w:contextualSpacing/>
    </w:pPr>
  </w:style>
  <w:style w:type="character" w:styleId="IntenseEmphasis">
    <w:name w:val="Intense Emphasis"/>
    <w:basedOn w:val="DefaultParagraphFont"/>
    <w:uiPriority w:val="21"/>
    <w:qFormat/>
    <w:rsid w:val="008D710A"/>
    <w:rPr>
      <w:i/>
      <w:iCs/>
      <w:color w:val="0F4761" w:themeColor="accent1" w:themeShade="BF"/>
    </w:rPr>
  </w:style>
  <w:style w:type="paragraph" w:styleId="IntenseQuote">
    <w:name w:val="Intense Quote"/>
    <w:basedOn w:val="Normal"/>
    <w:next w:val="Normal"/>
    <w:link w:val="IntenseQuoteChar"/>
    <w:uiPriority w:val="30"/>
    <w:qFormat/>
    <w:rsid w:val="008D71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10A"/>
    <w:rPr>
      <w:i/>
      <w:iCs/>
      <w:color w:val="0F4761" w:themeColor="accent1" w:themeShade="BF"/>
    </w:rPr>
  </w:style>
  <w:style w:type="character" w:styleId="IntenseReference">
    <w:name w:val="Intense Reference"/>
    <w:basedOn w:val="DefaultParagraphFont"/>
    <w:uiPriority w:val="32"/>
    <w:qFormat/>
    <w:rsid w:val="008D710A"/>
    <w:rPr>
      <w:b/>
      <w:bCs/>
      <w:smallCaps/>
      <w:color w:val="0F4761" w:themeColor="accent1" w:themeShade="BF"/>
      <w:spacing w:val="5"/>
    </w:rPr>
  </w:style>
  <w:style w:type="paragraph" w:styleId="BodyText">
    <w:name w:val="Body Text"/>
    <w:basedOn w:val="Normal"/>
    <w:link w:val="BodyTextChar"/>
    <w:qFormat/>
    <w:rsid w:val="008D710A"/>
    <w:pPr>
      <w:spacing w:before="180" w:after="180" w:line="240" w:lineRule="auto"/>
    </w:pPr>
    <w:rPr>
      <w:kern w:val="0"/>
      <w:sz w:val="24"/>
      <w:szCs w:val="24"/>
      <w:lang w:val="en-US"/>
      <w14:ligatures w14:val="none"/>
    </w:rPr>
  </w:style>
  <w:style w:type="character" w:customStyle="1" w:styleId="BodyTextChar">
    <w:name w:val="Body Text Char"/>
    <w:basedOn w:val="DefaultParagraphFont"/>
    <w:link w:val="BodyText"/>
    <w:rsid w:val="008D710A"/>
    <w:rPr>
      <w:kern w:val="0"/>
      <w:sz w:val="24"/>
      <w:szCs w:val="24"/>
      <w:lang w:val="en-US"/>
      <w14:ligatures w14:val="none"/>
    </w:rPr>
  </w:style>
  <w:style w:type="paragraph" w:customStyle="1" w:styleId="FirstParagraph">
    <w:name w:val="First Paragraph"/>
    <w:basedOn w:val="BodyText"/>
    <w:next w:val="BodyText"/>
    <w:qFormat/>
    <w:rsid w:val="008D710A"/>
  </w:style>
  <w:style w:type="paragraph" w:customStyle="1" w:styleId="Compact">
    <w:name w:val="Compact"/>
    <w:basedOn w:val="BodyText"/>
    <w:qFormat/>
    <w:rsid w:val="008D710A"/>
    <w:pPr>
      <w:spacing w:before="36" w:after="36"/>
    </w:pPr>
  </w:style>
  <w:style w:type="character" w:styleId="PlaceholderText">
    <w:name w:val="Placeholder Text"/>
    <w:basedOn w:val="DefaultParagraphFont"/>
    <w:uiPriority w:val="99"/>
    <w:semiHidden/>
    <w:rsid w:val="001A49DE"/>
    <w:rPr>
      <w:color w:val="666666"/>
    </w:rPr>
  </w:style>
  <w:style w:type="character" w:styleId="CommentReference">
    <w:name w:val="annotation reference"/>
    <w:basedOn w:val="DefaultParagraphFont"/>
    <w:uiPriority w:val="99"/>
    <w:semiHidden/>
    <w:unhideWhenUsed/>
    <w:rsid w:val="001D488C"/>
    <w:rPr>
      <w:sz w:val="16"/>
      <w:szCs w:val="16"/>
    </w:rPr>
  </w:style>
  <w:style w:type="paragraph" w:styleId="CommentText">
    <w:name w:val="annotation text"/>
    <w:basedOn w:val="Normal"/>
    <w:link w:val="CommentTextChar"/>
    <w:uiPriority w:val="99"/>
    <w:unhideWhenUsed/>
    <w:rsid w:val="001D488C"/>
    <w:pPr>
      <w:spacing w:line="240" w:lineRule="auto"/>
    </w:pPr>
    <w:rPr>
      <w:sz w:val="20"/>
      <w:szCs w:val="20"/>
    </w:rPr>
  </w:style>
  <w:style w:type="character" w:customStyle="1" w:styleId="CommentTextChar">
    <w:name w:val="Comment Text Char"/>
    <w:basedOn w:val="DefaultParagraphFont"/>
    <w:link w:val="CommentText"/>
    <w:uiPriority w:val="99"/>
    <w:rsid w:val="001D488C"/>
    <w:rPr>
      <w:sz w:val="20"/>
      <w:szCs w:val="20"/>
    </w:rPr>
  </w:style>
  <w:style w:type="paragraph" w:styleId="CommentSubject">
    <w:name w:val="annotation subject"/>
    <w:basedOn w:val="CommentText"/>
    <w:next w:val="CommentText"/>
    <w:link w:val="CommentSubjectChar"/>
    <w:uiPriority w:val="99"/>
    <w:semiHidden/>
    <w:unhideWhenUsed/>
    <w:rsid w:val="001D488C"/>
    <w:rPr>
      <w:b/>
      <w:bCs/>
    </w:rPr>
  </w:style>
  <w:style w:type="character" w:customStyle="1" w:styleId="CommentSubjectChar">
    <w:name w:val="Comment Subject Char"/>
    <w:basedOn w:val="CommentTextChar"/>
    <w:link w:val="CommentSubject"/>
    <w:uiPriority w:val="99"/>
    <w:semiHidden/>
    <w:rsid w:val="001D488C"/>
    <w:rPr>
      <w:b/>
      <w:bCs/>
      <w:sz w:val="20"/>
      <w:szCs w:val="20"/>
    </w:rPr>
  </w:style>
  <w:style w:type="character" w:styleId="Hyperlink">
    <w:name w:val="Hyperlink"/>
    <w:basedOn w:val="DefaultParagraphFont"/>
    <w:uiPriority w:val="99"/>
    <w:unhideWhenUsed/>
    <w:rsid w:val="001D488C"/>
    <w:rPr>
      <w:color w:val="467886" w:themeColor="hyperlink"/>
      <w:u w:val="single"/>
    </w:rPr>
  </w:style>
  <w:style w:type="character" w:styleId="UnresolvedMention">
    <w:name w:val="Unresolved Mention"/>
    <w:basedOn w:val="DefaultParagraphFont"/>
    <w:uiPriority w:val="99"/>
    <w:semiHidden/>
    <w:unhideWhenUsed/>
    <w:rsid w:val="001D4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13466">
      <w:bodyDiv w:val="1"/>
      <w:marLeft w:val="0"/>
      <w:marRight w:val="0"/>
      <w:marTop w:val="0"/>
      <w:marBottom w:val="0"/>
      <w:divBdr>
        <w:top w:val="none" w:sz="0" w:space="0" w:color="auto"/>
        <w:left w:val="none" w:sz="0" w:space="0" w:color="auto"/>
        <w:bottom w:val="none" w:sz="0" w:space="0" w:color="auto"/>
        <w:right w:val="none" w:sz="0" w:space="0" w:color="auto"/>
      </w:divBdr>
    </w:div>
    <w:div w:id="410737296">
      <w:bodyDiv w:val="1"/>
      <w:marLeft w:val="0"/>
      <w:marRight w:val="0"/>
      <w:marTop w:val="0"/>
      <w:marBottom w:val="0"/>
      <w:divBdr>
        <w:top w:val="none" w:sz="0" w:space="0" w:color="auto"/>
        <w:left w:val="none" w:sz="0" w:space="0" w:color="auto"/>
        <w:bottom w:val="none" w:sz="0" w:space="0" w:color="auto"/>
        <w:right w:val="none" w:sz="0" w:space="0" w:color="auto"/>
      </w:divBdr>
    </w:div>
    <w:div w:id="504904561">
      <w:bodyDiv w:val="1"/>
      <w:marLeft w:val="0"/>
      <w:marRight w:val="0"/>
      <w:marTop w:val="0"/>
      <w:marBottom w:val="0"/>
      <w:divBdr>
        <w:top w:val="none" w:sz="0" w:space="0" w:color="auto"/>
        <w:left w:val="none" w:sz="0" w:space="0" w:color="auto"/>
        <w:bottom w:val="none" w:sz="0" w:space="0" w:color="auto"/>
        <w:right w:val="none" w:sz="0" w:space="0" w:color="auto"/>
      </w:divBdr>
    </w:div>
    <w:div w:id="837816941">
      <w:bodyDiv w:val="1"/>
      <w:marLeft w:val="0"/>
      <w:marRight w:val="0"/>
      <w:marTop w:val="0"/>
      <w:marBottom w:val="0"/>
      <w:divBdr>
        <w:top w:val="none" w:sz="0" w:space="0" w:color="auto"/>
        <w:left w:val="none" w:sz="0" w:space="0" w:color="auto"/>
        <w:bottom w:val="none" w:sz="0" w:space="0" w:color="auto"/>
        <w:right w:val="none" w:sz="0" w:space="0" w:color="auto"/>
      </w:divBdr>
    </w:div>
    <w:div w:id="920867733">
      <w:bodyDiv w:val="1"/>
      <w:marLeft w:val="0"/>
      <w:marRight w:val="0"/>
      <w:marTop w:val="0"/>
      <w:marBottom w:val="0"/>
      <w:divBdr>
        <w:top w:val="none" w:sz="0" w:space="0" w:color="auto"/>
        <w:left w:val="none" w:sz="0" w:space="0" w:color="auto"/>
        <w:bottom w:val="none" w:sz="0" w:space="0" w:color="auto"/>
        <w:right w:val="none" w:sz="0" w:space="0" w:color="auto"/>
      </w:divBdr>
    </w:div>
    <w:div w:id="2021733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2239</TotalTime>
  <Pages>4</Pages>
  <Words>1160</Words>
  <Characters>6380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Hauser Anthony</dc:creator>
  <cp:keywords/>
  <dc:description/>
  <cp:lastModifiedBy>Hauser Anthony</cp:lastModifiedBy>
  <cp:revision>10</cp:revision>
  <dcterms:created xsi:type="dcterms:W3CDTF">2026-04-24T08:24:00Z</dcterms:created>
  <dcterms:modified xsi:type="dcterms:W3CDTF">2026-05-02T17:02:00Z</dcterms:modified>
</cp:coreProperties>
</file>