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FAD9" w14:textId="77777777" w:rsidR="00B24A57" w:rsidRDefault="00000000">
      <w:pPr>
        <w:pStyle w:val="Title"/>
      </w:pPr>
      <w:r>
        <w:t>COVID-19 disrupted patterns of cause-specific mortality in Switzerland</w:t>
      </w:r>
    </w:p>
    <w:p w14:paraId="22CB1A45" w14:textId="77777777" w:rsidR="00B24A57" w:rsidRDefault="00B24A57">
      <w:pPr>
        <w:pStyle w:val="Author"/>
      </w:pPr>
    </w:p>
    <w:p w14:paraId="64BB8ED3" w14:textId="77777777" w:rsidR="00B24A57" w:rsidRDefault="00000000">
      <w:pPr>
        <w:pStyle w:val="Heading1"/>
      </w:pPr>
      <w:bookmarkStart w:id="0" w:name="abstract"/>
      <w:r>
        <w:rPr>
          <w:rStyle w:val="SectionNumber"/>
        </w:rPr>
        <w:t>1</w:t>
      </w:r>
      <w:r>
        <w:tab/>
        <w:t>Abstract</w:t>
      </w:r>
    </w:p>
    <w:p w14:paraId="0A63129E" w14:textId="77777777" w:rsidR="00B24A57" w:rsidRDefault="00000000">
      <w:pPr>
        <w:pStyle w:val="FirstParagraph"/>
      </w:pPr>
      <w:r>
        <w:t>Objectives: To understand disruptions in mortality patterns during the COVID-19 pandemic beyond deaths directly attributed to SARS-CoV-2.</w:t>
      </w:r>
    </w:p>
    <w:p w14:paraId="15CDE256" w14:textId="77777777" w:rsidR="00B24A57" w:rsidRDefault="00000000">
      <w:pPr>
        <w:pStyle w:val="BodyText"/>
      </w:pPr>
      <w:r>
        <w:t>Methods: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w:t>
      </w:r>
    </w:p>
    <w:p w14:paraId="1670B3CB" w14:textId="77777777" w:rsidR="00B24A57" w:rsidRDefault="00000000">
      <w:pPr>
        <w:pStyle w:val="BodyText"/>
      </w:pPr>
      <w:r>
        <w:t>Results: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w:t>
      </w:r>
    </w:p>
    <w:p w14:paraId="7CAE2F36" w14:textId="77777777" w:rsidR="00B24A57" w:rsidRDefault="00000000">
      <w:pPr>
        <w:pStyle w:val="BodyText"/>
      </w:pPr>
      <w:r>
        <w:t>Conclusion: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41561ADC" w14:textId="77777777" w:rsidR="00B24A57" w:rsidRDefault="00000000">
      <w:r>
        <w:br w:type="page"/>
      </w:r>
    </w:p>
    <w:p w14:paraId="1F5147A9" w14:textId="77777777" w:rsidR="00B24A57" w:rsidRDefault="00000000">
      <w:pPr>
        <w:pStyle w:val="Heading1"/>
      </w:pPr>
      <w:bookmarkStart w:id="1" w:name="introduction"/>
      <w:bookmarkEnd w:id="0"/>
      <w:r>
        <w:rPr>
          <w:rStyle w:val="SectionNumber"/>
        </w:rPr>
        <w:lastRenderedPageBreak/>
        <w:t>2</w:t>
      </w:r>
      <w:r>
        <w:tab/>
        <w:t>Introduction</w:t>
      </w:r>
    </w:p>
    <w:p w14:paraId="0C36DACA" w14:textId="77777777" w:rsidR="00B24A57"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 has also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2F743A4C" w14:textId="77777777" w:rsidR="00B24A57" w:rsidRDefault="00000000">
      <w:pPr>
        <w:pStyle w:val="BodyText"/>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w:t>
      </w:r>
    </w:p>
    <w:p w14:paraId="18ED30F5" w14:textId="77777777" w:rsidR="00B24A57" w:rsidRDefault="00000000">
      <w:pPr>
        <w:pStyle w:val="BodyText"/>
      </w:pPr>
      <w:r>
        <w:t xml:space="preserve">Previous studies on cause-specific excess mortality during the COVID-19 pandemic have documented important shifts in mortality patterns, including increases in cardiovascular deaths alongside declines in respiratory and dementia mortality, with substantial heterogeneity across countries [4], [9]–[12]. Some investigations have also reported temporal and geographic correlations between COVID-19 activity and cause-specific mortality [9], [10], [13]. However, most studies focused on a limited set of causes and on the exceptional circumstances of the pandemic, without capturing the broader interdependence among causes of death. Yet cross-cause correlation is precisely what is needed to disentangle misclassification, mortality displacement, and indirect pathogen effects from one another. In Switzerland, several studies have examined all-cause mortality and described changes in cause-specific mortality during the pandemic [6], [14], [15], and the Federal Statistical Office has documented shifts in the relative distributions of deaths across cause categories over 2020-2022 [16]. Most recently, Durán et al. found lower estimates of excess mortality from chronic diseases when using underlying rather than multiple causes of death during the COVID-19 wave, supporting the view that COVID-19 may in some cases have displaced chronic conditions as the underlying cause reported on death certificates [17]. Across all these studies, however, mortality series have been analysed separately by cause, and no existing work has jointly modelled their temporal dynamics throughout the pandemic.   </w:t>
      </w:r>
    </w:p>
    <w:p w14:paraId="5E7BD515" w14:textId="77777777" w:rsidR="00B24A57" w:rsidRDefault="00000000">
      <w:pPr>
        <w:pStyle w:val="BodyText"/>
      </w:pPr>
      <w:r>
        <w:t xml:space="preserve">Switzerland maintains high-quality mortality statistics through a thorough process of reviewing each death certificate, yielding rich information on underlying, immediate, and concomitant causes </w:t>
      </w:r>
      <w:r>
        <w:lastRenderedPageBreak/>
        <w:t>suitable for detailed epidemiological analyses [18]. Leveraging these data, we aimed to estimate cause-specific excess mortality in Switzerland from 2011 to 2021, with a particular focus on cross-cause correlations. We implemented a Bayesian multivariate model that captured seasonal and long-term trends, accounted for population dynamics, and models correlation across causes through a shared latent random effects structure. By examining both the pre-pandemic synchrony in cause-specific mortality and its disruption during the pandemic, we aimed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FAA7BAB" w14:textId="77777777" w:rsidR="00B24A57" w:rsidRDefault="00000000">
      <w:r>
        <w:br w:type="page"/>
      </w:r>
    </w:p>
    <w:p w14:paraId="5A571E52" w14:textId="77777777" w:rsidR="00B24A57" w:rsidRDefault="00000000">
      <w:pPr>
        <w:pStyle w:val="Heading1"/>
      </w:pPr>
      <w:bookmarkStart w:id="2" w:name="methods"/>
      <w:bookmarkEnd w:id="1"/>
      <w:r>
        <w:rPr>
          <w:rStyle w:val="SectionNumber"/>
        </w:rPr>
        <w:lastRenderedPageBreak/>
        <w:t>3</w:t>
      </w:r>
      <w:r>
        <w:tab/>
        <w:t>Methods</w:t>
      </w:r>
    </w:p>
    <w:p w14:paraId="5B330967" w14:textId="77777777" w:rsidR="00B24A57" w:rsidRDefault="00000000">
      <w:pPr>
        <w:pStyle w:val="Heading2"/>
      </w:pPr>
      <w:bookmarkStart w:id="3" w:name="data"/>
      <w:r>
        <w:rPr>
          <w:rStyle w:val="SectionNumber"/>
        </w:rPr>
        <w:t>3.1</w:t>
      </w:r>
      <w:r>
        <w:tab/>
        <w:t>Data</w:t>
      </w:r>
    </w:p>
    <w:p w14:paraId="4FFC978C" w14:textId="77777777" w:rsidR="00B24A57"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[19].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We modelled suicide separately to assess potential pandemic-related changes, given early concerns regarding the impact of restrictions on suicide mortality. Yearly population data by sex, NUTS-2 region, and age group for the years 2011–2021 were also provided by the Federal Statistical Office (FSO). We applied linear interpolation to obtain weekly population estimates.</w:t>
      </w:r>
    </w:p>
    <w:p w14:paraId="284EBB9D" w14:textId="77777777" w:rsidR="00B24A57" w:rsidRDefault="00000000">
      <w:pPr>
        <w:pStyle w:val="Heading2"/>
      </w:pPr>
      <w:bookmarkStart w:id="4" w:name="model"/>
      <w:bookmarkEnd w:id="3"/>
      <w:r>
        <w:rPr>
          <w:rStyle w:val="SectionNumber"/>
        </w:rPr>
        <w:t>3.2</w:t>
      </w:r>
      <w:r>
        <w:tab/>
        <w:t>Model</w:t>
      </w:r>
    </w:p>
    <w:p w14:paraId="6F804322" w14:textId="77777777" w:rsidR="00B24A57"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was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[20], with </w:t>
      </w:r>
      <m:oMath>
        <m:r>
          <w:rPr>
            <w:rFonts w:ascii="Cambria Math" w:hAnsi="Cambria Math"/>
          </w:rPr>
          <m:t>t</m:t>
        </m:r>
      </m:oMath>
      <w:r>
        <w:t xml:space="preserve"> representing calendar weeks. To account for the correlation between mortality risks across causes, the model incorporated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using a Cholesky factor with LKJ(1) prior, which imposes no a priori preference on the strength or direction of the correlations.</w:t>
      </w:r>
    </w:p>
    <w:p w14:paraId="269C6C09" w14:textId="77777777" w:rsidR="00B24A57" w:rsidRDefault="00000000">
      <w:pPr>
        <w:pStyle w:val="BodyText"/>
      </w:pPr>
      <w:r>
        <w:t>The model is specified as follows:</w:t>
      </w:r>
    </w:p>
    <w:p w14:paraId="59E95256" w14:textId="77777777" w:rsidR="00B24A57" w:rsidRPr="008E7F44"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67088881" w14:textId="77777777" w:rsidR="00B24A57" w:rsidRDefault="00000000">
      <w:pPr>
        <w:pStyle w:val="FirstParagraph"/>
      </w:pPr>
      <w:r>
        <w:t>with</w:t>
      </w:r>
    </w:p>
    <w:p w14:paraId="4D699FD8" w14:textId="77777777" w:rsidR="00B24A57" w:rsidRDefault="00000000">
      <w:pPr>
        <w:pStyle w:val="BodyText"/>
      </w:pPr>
      <m:oMathPara>
        <m:oMathParaPr>
          <m:jc m:val="center"/>
        </m:oMathParaPr>
        <m:oMath>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825F948" w14:textId="77777777" w:rsidR="00B24A57"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used a Poisson likelihood, this model accounts for potential overdispersion through its complex random-effect structure. </w:t>
      </w:r>
    </w:p>
    <w:p w14:paraId="13D93ADE" w14:textId="77777777" w:rsidR="00B24A57"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was designed to capture </w:t>
      </w:r>
      <w:r>
        <w:rPr>
          <w:i/>
          <w:iCs/>
        </w:rPr>
        <w:t>excess mortality</w:t>
      </w:r>
      <w:r>
        <w:t xml:space="preserve">, i.e.,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0FB405DB" w14:textId="77777777" w:rsidR="00B24A57"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85166AC" w14:textId="77777777" w:rsidR="00B24A57" w:rsidRDefault="00000000">
      <w:pPr>
        <w:pStyle w:val="FirstParagraph"/>
      </w:pPr>
      <w:r>
        <w:t xml:space="preserve"> We also reported aggregated estimates of excess mortality (i.e., </w:t>
      </w:r>
      <w:r>
        <w:rPr>
          <w:i/>
          <w:iCs/>
        </w:rPr>
        <w:t>all-cause excess mortality</w:t>
      </w:r>
      <w:r>
        <w:t>), across regions, across sexes and across time periods. This was simply obtained by adding posterior samples.</w:t>
      </w:r>
    </w:p>
    <w:p w14:paraId="35DC8C3B" w14:textId="77777777" w:rsidR="00B24A57" w:rsidRDefault="00000000">
      <w:pPr>
        <w:pStyle w:val="Heading2"/>
      </w:pPr>
      <w:bookmarkStart w:id="5" w:name="further-analysis"/>
      <w:bookmarkEnd w:id="4"/>
      <w:r>
        <w:rPr>
          <w:rStyle w:val="SectionNumber"/>
        </w:rPr>
        <w:t>3.3</w:t>
      </w:r>
      <w:r>
        <w:tab/>
        <w:t>Further analysis</w:t>
      </w:r>
    </w:p>
    <w:p w14:paraId="68FC92AA" w14:textId="77777777" w:rsidR="00B24A57"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C937ECA" w14:textId="77777777" w:rsidR="00B24A57"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[21]. All code is available from </w:t>
      </w:r>
      <w:hyperlink r:id="rId7">
        <w:r>
          <w:rPr>
            <w:rStyle w:val="Hyperlink"/>
          </w:rPr>
          <w:t>https://github.com/XX/causes-of-deaths</w:t>
        </w:r>
      </w:hyperlink>
      <w:r>
        <w:t xml:space="preserve">. </w:t>
      </w:r>
    </w:p>
    <w:p w14:paraId="0173EEF7" w14:textId="77777777" w:rsidR="00B24A57" w:rsidRDefault="00000000">
      <w:r>
        <w:br w:type="page"/>
      </w:r>
    </w:p>
    <w:p w14:paraId="57A33C91" w14:textId="77777777" w:rsidR="00B24A57" w:rsidRDefault="00000000">
      <w:pPr>
        <w:pStyle w:val="Heading1"/>
      </w:pPr>
      <w:bookmarkStart w:id="6" w:name="results"/>
      <w:bookmarkEnd w:id="2"/>
      <w:bookmarkEnd w:id="5"/>
      <w:r>
        <w:rPr>
          <w:rStyle w:val="SectionNumber"/>
        </w:rPr>
        <w:lastRenderedPageBreak/>
        <w:t>4</w:t>
      </w:r>
      <w:r>
        <w:tab/>
        <w:t>Results</w:t>
      </w:r>
    </w:p>
    <w:p w14:paraId="2C57616B" w14:textId="77777777" w:rsidR="00B24A57" w:rsidRDefault="00000000">
      <w:pPr>
        <w:pStyle w:val="Heading2"/>
      </w:pPr>
      <w:bookmarkStart w:id="7" w:name="distribution-of-deaths"/>
      <w:r>
        <w:rPr>
          <w:rStyle w:val="SectionNumber"/>
        </w:rPr>
        <w:t>4.1</w:t>
      </w:r>
      <w:r>
        <w:tab/>
        <w:t>Distribution of deaths</w:t>
      </w:r>
    </w:p>
    <w:p w14:paraId="2F41038A" w14:textId="77777777" w:rsidR="00B24A57" w:rsidRDefault="00000000">
      <w:pPr>
        <w:pStyle w:val="FirstParagraph"/>
      </w:pPr>
      <w:r>
        <w:t>In Switzerland, deaths were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6C318B6A" w14:textId="77777777" w:rsidR="00B24A57" w:rsidRDefault="00000000">
      <w:pPr>
        <w:pStyle w:val="Heading2"/>
      </w:pPr>
      <w:bookmarkStart w:id="8" w:name="prepandemic-mortality-trends"/>
      <w:bookmarkEnd w:id="7"/>
      <w:r>
        <w:rPr>
          <w:rStyle w:val="SectionNumber"/>
        </w:rPr>
        <w:t>4.2</w:t>
      </w:r>
      <w:r>
        <w:tab/>
        <w:t>Prepandemic mortality trends</w:t>
      </w:r>
    </w:p>
    <w:p w14:paraId="43BE49E2" w14:textId="77777777" w:rsidR="00B24A57" w:rsidRDefault="00000000">
      <w:pPr>
        <w:pStyle w:val="FirstParagraph"/>
      </w:pPr>
      <w:r>
        <w:t>The model captured the seasonal and long-term trends in cause-specific mortality between 2011 and 2019 (Fig 2A for individuals aged 80+, and Fig S1–S4 in Supplementary File 1 for other age groups), while rare episodes of excess mortality were identified, such as in the winters of 2014/15 and 2016/17. We observed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occured consistently across causes between January and February. During the pre-pandemic period (2011–2019), observed peak timings align closely with these expectations. However, during the pandemic years, we observed a marked shift: mortality peaks occur earlier than expected. In addition, the model revealed strong positive correlations in cause-specific excess mortality, mostly among individuals aged 80 and over (Fig 2B). Specifically, excess deaths from respiratory diseases, mental or neurological disorders, and cardiovascular diseases were highly correlated, with pairwise correlations exceeding 0.8.</w:t>
      </w:r>
    </w:p>
    <w:p w14:paraId="76253DFD" w14:textId="77777777" w:rsidR="00B24A57" w:rsidRDefault="00000000">
      <w:pPr>
        <w:pStyle w:val="Heading2"/>
      </w:pPr>
      <w:bookmarkStart w:id="9" w:name="covid-19-mortality"/>
      <w:bookmarkEnd w:id="8"/>
      <w:r>
        <w:rPr>
          <w:rStyle w:val="SectionNumber"/>
        </w:rPr>
        <w:t>4.3</w:t>
      </w:r>
      <w:r>
        <w:tab/>
        <w:t>COVID-19 mortality</w:t>
      </w:r>
    </w:p>
    <w:p w14:paraId="0DC7F96A" w14:textId="77777777" w:rsidR="00B24A57" w:rsidRDefault="00000000">
      <w:pPr>
        <w:pStyle w:val="FirstParagraph"/>
      </w:pPr>
      <w:r>
        <w:t>The model also captured all-cause mortality between 2011 and 2019, obtained by aggregating the expected cause-specific mortality. Among individuals aged 65 and over, the impact of the first two COVID-19 waves, during spring 2020 and fall/winter 2020–21, 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observed that mortality from other causes was lower than expected in 2020–21 for people aged 65 and over.</w:t>
      </w:r>
    </w:p>
    <w:p w14:paraId="4BB81D91" w14:textId="77777777" w:rsidR="00B24A57" w:rsidRDefault="00000000">
      <w:pPr>
        <w:pStyle w:val="Heading2"/>
      </w:pPr>
      <w:bookmarkStart w:id="10" w:name="X2d11acc4875a576e3781fb4a2d0c06e2991d12c"/>
      <w:bookmarkEnd w:id="9"/>
      <w:r>
        <w:rPr>
          <w:rStyle w:val="SectionNumber"/>
        </w:rPr>
        <w:t>4.4</w:t>
      </w:r>
      <w:r>
        <w:tab/>
        <w:t>Cause-specific excess mortality in 2020-21</w:t>
      </w:r>
    </w:p>
    <w:p w14:paraId="71531725" w14:textId="77777777" w:rsidR="00B24A57"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 95% Credibility Interval (95%CrI)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1BABCD9F" w14:textId="77777777" w:rsidR="00B24A57" w:rsidRDefault="00000000">
      <w:pPr>
        <w:pStyle w:val="BodyText"/>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28FC04E2" w14:textId="77777777" w:rsidR="00B24A57"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67542DD0" w14:textId="77777777" w:rsidR="00B24A57" w:rsidRDefault="00000000">
      <w:pPr>
        <w:pStyle w:val="Heading2"/>
      </w:pPr>
      <w:bookmarkStart w:id="11" w:name="Xd537387f716daf71b655cf5953dad128feb954d"/>
      <w:bookmarkEnd w:id="10"/>
      <w:r>
        <w:rPr>
          <w:rStyle w:val="SectionNumber"/>
        </w:rPr>
        <w:t>4.5</w:t>
      </w:r>
      <w:r>
        <w:tab/>
        <w:t>Correlation with respiratory diseases in 2020-21</w:t>
      </w:r>
    </w:p>
    <w:p w14:paraId="236E6AFE" w14:textId="77777777" w:rsidR="00B24A57"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in Supplementary File 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5E0B515D" w14:textId="77777777" w:rsidR="00B24A57" w:rsidRDefault="00000000">
      <w:r>
        <w:br w:type="page"/>
      </w:r>
    </w:p>
    <w:p w14:paraId="733D3460" w14:textId="77777777" w:rsidR="00B24A57" w:rsidRDefault="00000000">
      <w:pPr>
        <w:pStyle w:val="Heading1"/>
      </w:pPr>
      <w:bookmarkStart w:id="12" w:name="discussion"/>
      <w:bookmarkEnd w:id="6"/>
      <w:bookmarkEnd w:id="11"/>
      <w:r>
        <w:rPr>
          <w:rStyle w:val="SectionNumber"/>
        </w:rPr>
        <w:lastRenderedPageBreak/>
        <w:t>5</w:t>
      </w:r>
      <w:r>
        <w:tab/>
        <w:t>Discussion</w:t>
      </w:r>
    </w:p>
    <w:p w14:paraId="0E0F2DAE" w14:textId="77777777" w:rsidR="00B24A57" w:rsidRDefault="00000000">
      <w:pPr>
        <w:pStyle w:val="Heading2"/>
      </w:pPr>
      <w:bookmarkStart w:id="13" w:name="summary"/>
      <w:r>
        <w:rPr>
          <w:rStyle w:val="SectionNumber"/>
        </w:rPr>
        <w:t>5.1</w:t>
      </w:r>
      <w:r>
        <w:tab/>
        <w:t>Summary</w:t>
      </w:r>
    </w:p>
    <w:p w14:paraId="775827C7" w14:textId="77777777" w:rsidR="00B24A57"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0BFAE6A5" w14:textId="77777777" w:rsidR="00B24A57" w:rsidRDefault="00000000">
      <w:pPr>
        <w:pStyle w:val="Heading2"/>
      </w:pPr>
      <w:bookmarkStart w:id="14" w:name="Xacf3f3f9a295da438b4923d264beecd65af4f57"/>
      <w:bookmarkEnd w:id="13"/>
      <w:r>
        <w:rPr>
          <w:rStyle w:val="SectionNumber"/>
        </w:rPr>
        <w:t>5.2</w:t>
      </w:r>
      <w:r>
        <w:tab/>
        <w:t>Potential explanations for the observed patterns: 4 types of disruption</w:t>
      </w:r>
    </w:p>
    <w:p w14:paraId="336F0A67" w14:textId="77777777" w:rsidR="00B24A57"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45EEEFAD" w14:textId="77777777" w:rsidR="00B24A57" w:rsidRDefault="00000000">
      <w:pPr>
        <w:pStyle w:val="BodyText"/>
      </w:pPr>
      <w:r>
        <w:t>Second, sequelae of SARS-CoV-2 infection could increase other cause-specific mortality. Cohort studies have documented a higher individual risk of delayed complications, particularly cardiovascular events, months after infection [22], [23]. Population-level analyses show that these delayed effects contributed to sustained excess cardiovascular mortality in 2021 in countries such as the United States [4] and the United Kingdom [24]. Such effects are difficult to detect in the relatively healthy Swiss population and may overlap with other disruptions—such as misclassified COVID-19 deaths or mortality displacement—complicating interpretations.</w:t>
      </w:r>
    </w:p>
    <w:p w14:paraId="7A6DAD04" w14:textId="77777777" w:rsidR="00B24A57"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 of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increase in mortality among individuals with low-survival cancers, where the risks of dying from cancer or COVID-19 directly compete. Such results have also been reproduced theoretically through simulation-based modelling work [25]. Finally, the observed negative correlation between cancer-related excess mortality and COVID-19 deaths, which was also reported spatially across US states, further supports this interpretation [13].</w:t>
      </w:r>
    </w:p>
    <w:p w14:paraId="5C93653E" w14:textId="77777777" w:rsidR="00B24A57" w:rsidRDefault="00000000">
      <w:pPr>
        <w:pStyle w:val="BodyText"/>
      </w:pPr>
      <w:r>
        <w:lastRenderedPageBreak/>
        <w:t xml:space="preserve">Finally, pandemic response, 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 deficits observed in early 2021 among the 65–79 and 80 + age groups. On the other hand, the implementation of NPIs has also been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[26]. </w:t>
      </w:r>
    </w:p>
    <w:p w14:paraId="1D9FDFDB" w14:textId="77777777" w:rsidR="00B24A57" w:rsidRDefault="00000000">
      <w:pPr>
        <w:pStyle w:val="Heading2"/>
      </w:pPr>
      <w:bookmarkStart w:id="15" w:name="cross-cause-correlation"/>
      <w:bookmarkEnd w:id="14"/>
      <w:r>
        <w:rPr>
          <w:rStyle w:val="SectionNumber"/>
        </w:rPr>
        <w:t>5.3</w:t>
      </w:r>
      <w:r>
        <w:tab/>
        <w:t>Cross-cause correlation</w:t>
      </w:r>
    </w:p>
    <w:p w14:paraId="195B905B" w14:textId="77777777" w:rsidR="00B24A57" w:rsidRDefault="00000000">
      <w:pPr>
        <w:pStyle w:val="FirstParagraph"/>
      </w:pPr>
      <w:r>
        <w:t>Our multivariate model revealed two layers of pre-2020 cause-specific mortality correlation: first, most causes share a winter peak across age groups; second, even after removing this seasonal component, excess deaths from respiratory, cardiovascular, and mental-neurological diseases remain tightly coupled. Modelling these correlations jointly made it possible to distinguish between competing explanations for cause-specific mortality patterns (i.e., misclassification, mortality displacement, and indirect effects) which cannot be disentangled when causes are analysed in isolation. The correlation was highest in winters with the largest influenza epidemics, implying that a substantial share of the apparent cardiovascular excess was infection-related (either through biologically triggered events or misclassification) [27], [28]. While extreme weather or pollution could still contribute, previous studies have suggested that they only explain a minor fraction of the observed excess mortality [30].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68BDA496" w14:textId="77777777" w:rsidR="00B24A57" w:rsidRDefault="00000000">
      <w:pPr>
        <w:pStyle w:val="Heading2"/>
      </w:pPr>
      <w:bookmarkStart w:id="16" w:name="strengths-limitations-and-perspectives"/>
      <w:bookmarkEnd w:id="15"/>
      <w:r>
        <w:rPr>
          <w:rStyle w:val="SectionNumber"/>
        </w:rPr>
        <w:t>5.4</w:t>
      </w:r>
      <w:r>
        <w:tab/>
        <w:t>Strengths, limitations and perspectives</w:t>
      </w:r>
    </w:p>
    <w:p w14:paraId="4E5FEACE" w14:textId="77777777" w:rsidR="00B24A57" w:rsidRDefault="00000000">
      <w:pPr>
        <w:pStyle w:val="FirstParagraph"/>
      </w:pPr>
      <w:r>
        <w:t>The study has several strengths. We studied the COVID-19 disruption, which temporarily decoupled normally synchronized causes of death, to examine how they are linked. We built a multi-dimensional Bayesian model that captured population change, long-term trends, seasonal patterns, and cross-cause correlation. Gaussian processes gave this model more flexibility than generalized linear models with splines or seasonal ARIMA, resulting in sharper estimates and more realistic uncertainty [4], [9]–[12], [31]. Other approaches that have formally modeled cross-cause correlation, used tensors or multi-cause Gaussian processes, but their complexity often prevents a clear understanding of how cause-specific mortalities are related [8], [32]. Our Bayesian framework explicitly propagated uncertainty, a critical feature when excess-mortality estimates depend on counterfactual predictions. The analysis also benefited from Switzerland’s high-quality death-certificate data, which follow consistent coding guidelines and achieve near-complete coverage. Weekly aggregation preserved high temporal granularity and allowed us to detect fine-scale synchrony between causes.</w:t>
      </w:r>
    </w:p>
    <w:p w14:paraId="50BFB248" w14:textId="77777777" w:rsidR="00B24A57" w:rsidRDefault="00000000">
      <w:pPr>
        <w:pStyle w:val="BodyText"/>
      </w:pPr>
      <w:r>
        <w:lastRenderedPageBreak/>
        <w:t>The study also has limitations. First, most analyses rely solely on the unique underlying cause of death, which may overlook mechanisms such as mortality displacement or competing risks. 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causes, and would help disentangle misclassification from true shifts in cause-specific mortality. This was illustrated in our preliminary analysis focusing on cancer and more comprehensively in Duràn et al. [17], and could be further extended using more formal modelling approaches.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65275F01" w14:textId="77777777" w:rsidR="00B24A57" w:rsidRDefault="00000000">
      <w:pPr>
        <w:pStyle w:val="BodyText"/>
      </w:pPr>
      <w:r>
        <w:t>In the future, cause-specific mortality data could serve different purposes. First, it shows how disruption in one cause, such as a respiratory virus epidemic, 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2022 and 2023 will clarify whether the different effects responsible for the disruption of mortality persist after 2021.</w:t>
      </w:r>
    </w:p>
    <w:p w14:paraId="327483F4" w14:textId="77777777" w:rsidR="00B24A57" w:rsidRDefault="00000000">
      <w:pPr>
        <w:pStyle w:val="Heading2"/>
      </w:pPr>
      <w:bookmarkStart w:id="17" w:name="conclusion"/>
      <w:bookmarkEnd w:id="16"/>
      <w:r>
        <w:rPr>
          <w:rStyle w:val="SectionNumber"/>
        </w:rPr>
        <w:t>5.5</w:t>
      </w:r>
      <w:r>
        <w:tab/>
        <w:t>Conclusion</w:t>
      </w:r>
    </w:p>
    <w:p w14:paraId="3AF6F245" w14:textId="77777777" w:rsidR="00B24A57"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2EB9179C" w14:textId="77777777" w:rsidR="00B24A57" w:rsidRDefault="00000000">
      <w:r>
        <w:br w:type="page"/>
      </w:r>
    </w:p>
    <w:p w14:paraId="0DCB8DA6" w14:textId="77777777" w:rsidR="00B24A57" w:rsidRDefault="00000000">
      <w:pPr>
        <w:pStyle w:val="Heading1"/>
      </w:pPr>
      <w:bookmarkStart w:id="18" w:name="references"/>
      <w:bookmarkEnd w:id="12"/>
      <w:bookmarkEnd w:id="17"/>
      <w:r>
        <w:rPr>
          <w:rStyle w:val="SectionNumber"/>
        </w:rPr>
        <w:lastRenderedPageBreak/>
        <w:t>6</w:t>
      </w:r>
      <w:r>
        <w:tab/>
        <w:t>References</w:t>
      </w:r>
    </w:p>
    <w:p w14:paraId="5505C1D7" w14:textId="77777777" w:rsidR="00B24A57" w:rsidRDefault="00000000">
      <w:pPr>
        <w:pStyle w:val="Bibliography"/>
      </w:pPr>
      <w:bookmarkStart w:id="19" w:name="ref-olsen_decreased_2020"/>
      <w:bookmarkStart w:id="20"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8">
        <w:r>
          <w:rPr>
            <w:rStyle w:val="Hyperlink"/>
          </w:rPr>
          <w:t>10.1111/ajt.16381</w:t>
        </w:r>
      </w:hyperlink>
      <w:r>
        <w:t>.</w:t>
      </w:r>
    </w:p>
    <w:p w14:paraId="58EA3935" w14:textId="77777777" w:rsidR="00B24A57" w:rsidRDefault="00000000">
      <w:pPr>
        <w:pStyle w:val="Bibliography"/>
      </w:pPr>
      <w:bookmarkStart w:id="21" w:name="ref-lantos_impact_2024"/>
      <w:bookmarkEnd w:id="19"/>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9">
        <w:r>
          <w:rPr>
            <w:rStyle w:val="Hyperlink"/>
          </w:rPr>
          <w:t>10.1038/s41598-024-68604-3</w:t>
        </w:r>
      </w:hyperlink>
      <w:r>
        <w:t>.</w:t>
      </w:r>
    </w:p>
    <w:p w14:paraId="2CA199DF" w14:textId="77777777" w:rsidR="00B24A57" w:rsidRDefault="00000000">
      <w:pPr>
        <w:pStyle w:val="Bibliography"/>
      </w:pPr>
      <w:bookmarkStart w:id="22" w:name="ref-maringe_impact_2020"/>
      <w:bookmarkEnd w:id="21"/>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10">
        <w:r>
          <w:rPr>
            <w:rStyle w:val="Hyperlink"/>
          </w:rPr>
          <w:t>10.1016/S1470-2045(20)30388-0</w:t>
        </w:r>
      </w:hyperlink>
      <w:r>
        <w:t>.</w:t>
      </w:r>
    </w:p>
    <w:p w14:paraId="4E98BDE7" w14:textId="77777777" w:rsidR="00B24A57" w:rsidRDefault="00000000">
      <w:pPr>
        <w:pStyle w:val="Bibliography"/>
      </w:pPr>
      <w:bookmarkStart w:id="23" w:name="ref-han_excess_2023"/>
      <w:bookmarkEnd w:id="22"/>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1">
        <w:r>
          <w:rPr>
            <w:rStyle w:val="Hyperlink"/>
          </w:rPr>
          <w:t>10.1038/s44161-023-00220-2</w:t>
        </w:r>
      </w:hyperlink>
      <w:r>
        <w:t>.</w:t>
      </w:r>
    </w:p>
    <w:p w14:paraId="54BA221B" w14:textId="77777777" w:rsidR="00B24A57" w:rsidRDefault="00000000">
      <w:pPr>
        <w:pStyle w:val="Bibliography"/>
      </w:pPr>
      <w:bookmarkStart w:id="24" w:name="ref-holleyman_adjusting_2023"/>
      <w:bookmarkEnd w:id="23"/>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2">
        <w:r>
          <w:rPr>
            <w:rStyle w:val="Hyperlink"/>
          </w:rPr>
          <w:t>10.1186/s12874-023-01984-8</w:t>
        </w:r>
      </w:hyperlink>
      <w:r>
        <w:t>.</w:t>
      </w:r>
    </w:p>
    <w:p w14:paraId="03BB41D3" w14:textId="77777777" w:rsidR="00B24A57" w:rsidRDefault="00000000">
      <w:pPr>
        <w:pStyle w:val="Bibliography"/>
      </w:pPr>
      <w:bookmarkStart w:id="25" w:name="ref-riou_direct_2023"/>
      <w:bookmarkEnd w:id="24"/>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3">
        <w:r>
          <w:rPr>
            <w:rStyle w:val="Hyperlink"/>
          </w:rPr>
          <w:t>10.1038/s41467-022-35770-9</w:t>
        </w:r>
      </w:hyperlink>
      <w:r>
        <w:t>.</w:t>
      </w:r>
    </w:p>
    <w:p w14:paraId="41D8F13A" w14:textId="77777777" w:rsidR="00B24A57" w:rsidRDefault="00000000">
      <w:pPr>
        <w:pStyle w:val="Bibliography"/>
      </w:pPr>
      <w:bookmarkStart w:id="26" w:name="ref-beaney_excess_2020"/>
      <w:bookmarkEnd w:id="25"/>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4">
        <w:r>
          <w:rPr>
            <w:rStyle w:val="Hyperlink"/>
          </w:rPr>
          <w:t>10.1177/0141076820956802</w:t>
        </w:r>
      </w:hyperlink>
      <w:r>
        <w:t>.</w:t>
      </w:r>
    </w:p>
    <w:p w14:paraId="3AAB130A" w14:textId="77777777" w:rsidR="00B24A57" w:rsidRDefault="00000000">
      <w:pPr>
        <w:pStyle w:val="Bibliography"/>
      </w:pPr>
      <w:bookmarkStart w:id="27" w:name="ref-huynh_joint_2024"/>
      <w:bookmarkEnd w:id="26"/>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5">
        <w:r>
          <w:rPr>
            <w:rStyle w:val="Hyperlink"/>
          </w:rPr>
          <w:t>10.1017/S1748499523000118</w:t>
        </w:r>
      </w:hyperlink>
      <w:r>
        <w:t>.</w:t>
      </w:r>
    </w:p>
    <w:p w14:paraId="50063FB9" w14:textId="77777777" w:rsidR="00B24A57" w:rsidRDefault="00000000">
      <w:pPr>
        <w:pStyle w:val="Bibliography"/>
      </w:pPr>
      <w:bookmarkStart w:id="28" w:name="ref-pizzato_relationship_2025"/>
      <w:bookmarkEnd w:id="27"/>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6">
        <w:r>
          <w:rPr>
            <w:rStyle w:val="Hyperlink"/>
          </w:rPr>
          <w:t>10.1093/ije/dyaf006</w:t>
        </w:r>
      </w:hyperlink>
      <w:r>
        <w:t>.</w:t>
      </w:r>
    </w:p>
    <w:p w14:paraId="1AC774ED" w14:textId="77777777" w:rsidR="00B24A57" w:rsidRDefault="00000000">
      <w:pPr>
        <w:pStyle w:val="Bibliography"/>
      </w:pPr>
      <w:bookmarkStart w:id="29" w:name="ref-paglino_cause-specific_2024"/>
      <w:bookmarkEnd w:id="28"/>
      <w:r>
        <w:t xml:space="preserve">[10] </w:t>
      </w:r>
      <w:r>
        <w:tab/>
        <w:t>E. Paglino, “Cause-Specific Excess Mortality During the COVID-19 Pandemic,” 2024.</w:t>
      </w:r>
    </w:p>
    <w:p w14:paraId="70DD5DF8" w14:textId="77777777" w:rsidR="00B24A57" w:rsidRDefault="00000000">
      <w:pPr>
        <w:pStyle w:val="Bibliography"/>
      </w:pPr>
      <w:bookmarkStart w:id="30" w:name="ref-beeks_cause-specific_2024"/>
      <w:bookmarkEnd w:id="29"/>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7">
        <w:r>
          <w:rPr>
            <w:rStyle w:val="Hyperlink"/>
          </w:rPr>
          <w:t>10.1007/s44197-024-00242-4</w:t>
        </w:r>
      </w:hyperlink>
      <w:r>
        <w:t>.</w:t>
      </w:r>
    </w:p>
    <w:p w14:paraId="776AE3EF" w14:textId="77777777" w:rsidR="00B24A57" w:rsidRDefault="00000000">
      <w:pPr>
        <w:pStyle w:val="Bibliography"/>
      </w:pPr>
      <w:bookmarkStart w:id="31" w:name="ref-nilsson_cause-specific_2024"/>
      <w:bookmarkEnd w:id="30"/>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8">
        <w:r>
          <w:rPr>
            <w:rStyle w:val="Hyperlink"/>
          </w:rPr>
          <w:t>10.1007/s10654-024-01154-0</w:t>
        </w:r>
      </w:hyperlink>
      <w:r>
        <w:t>.</w:t>
      </w:r>
    </w:p>
    <w:p w14:paraId="5AB736F1" w14:textId="77777777" w:rsidR="00B24A57" w:rsidRDefault="00000000">
      <w:pPr>
        <w:pStyle w:val="Bibliography"/>
      </w:pPr>
      <w:bookmarkStart w:id="32" w:name="ref-luck_associations_2023"/>
      <w:bookmarkEnd w:id="31"/>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9">
        <w:r>
          <w:rPr>
            <w:rStyle w:val="Hyperlink"/>
          </w:rPr>
          <w:t>10.1371/journal.pone.0281683</w:t>
        </w:r>
      </w:hyperlink>
      <w:r>
        <w:t>.</w:t>
      </w:r>
    </w:p>
    <w:p w14:paraId="41C3A3C7" w14:textId="77777777" w:rsidR="00B24A57" w:rsidRDefault="00000000">
      <w:pPr>
        <w:pStyle w:val="Bibliography"/>
      </w:pPr>
      <w:bookmarkStart w:id="33" w:name="ref-riou_area-level_2024"/>
      <w:bookmarkEnd w:id="32"/>
      <w:r>
        <w:t xml:space="preserve">[14] </w:t>
      </w:r>
      <w:r>
        <w:tab/>
        <w:t xml:space="preserve">J. Riou, R. Panczak, G. Konstantinoudis, and M. Egger, “Area-level excess mortality in times of COVID-19 in Switzerland: Geographical, socioeconomic and political determinants,” </w:t>
      </w:r>
      <w:r>
        <w:rPr>
          <w:i/>
          <w:iCs/>
        </w:rPr>
        <w:t>European Journal of Public Health</w:t>
      </w:r>
      <w:r>
        <w:t xml:space="preserve">, vol. 34, no. 2, pp. 415–417, Apr. 2024, doi: </w:t>
      </w:r>
      <w:hyperlink r:id="rId20">
        <w:r>
          <w:rPr>
            <w:rStyle w:val="Hyperlink"/>
          </w:rPr>
          <w:t>10.1093/eurpub/ckad230</w:t>
        </w:r>
      </w:hyperlink>
      <w:r>
        <w:t>.</w:t>
      </w:r>
    </w:p>
    <w:p w14:paraId="096ED62C" w14:textId="77777777" w:rsidR="00B24A57" w:rsidRDefault="00000000">
      <w:pPr>
        <w:pStyle w:val="Bibliography"/>
      </w:pPr>
      <w:bookmarkStart w:id="34" w:name="ref-konstantinoudis_regional_2022"/>
      <w:bookmarkEnd w:id="33"/>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doi: </w:t>
      </w:r>
      <w:hyperlink r:id="rId21">
        <w:r>
          <w:rPr>
            <w:rStyle w:val="Hyperlink"/>
          </w:rPr>
          <w:t>10.1038/s41467-022-28157-3</w:t>
        </w:r>
      </w:hyperlink>
      <w:r>
        <w:t>.</w:t>
      </w:r>
    </w:p>
    <w:p w14:paraId="7C1B1765" w14:textId="77777777" w:rsidR="00B24A57" w:rsidRDefault="00000000">
      <w:pPr>
        <w:pStyle w:val="Bibliography"/>
      </w:pPr>
      <w:bookmarkStart w:id="35" w:name="Xaf423a9c7c2db0753d2726e5ae7f7091d8a0473"/>
      <w:bookmarkEnd w:id="34"/>
      <w:r>
        <w:t xml:space="preserve">[16] </w:t>
      </w:r>
      <w:r>
        <w:tab/>
        <w:t xml:space="preserve">F. S. Office, “The impact of the COVID-19 pandemic on mortality and causes of death in Switzerland.” Accessed: May 18, 2026. [Online]. Available: </w:t>
      </w:r>
      <w:hyperlink r:id="rId22">
        <w:r>
          <w:rPr>
            <w:rStyle w:val="Hyperlink"/>
          </w:rPr>
          <w:t>https://www.swissstats.bfs.admin.ch/data/webviewer/appId/ch.admin.bfs.swissstat/article/issue231412602200-01/package</w:t>
        </w:r>
      </w:hyperlink>
    </w:p>
    <w:p w14:paraId="365D6D7C" w14:textId="77777777" w:rsidR="00B24A57" w:rsidRDefault="00000000">
      <w:pPr>
        <w:pStyle w:val="Bibliography"/>
      </w:pPr>
      <w:bookmarkStart w:id="36" w:name="ref-duran_n_multiple_2026"/>
      <w:bookmarkEnd w:id="35"/>
      <w:r>
        <w:t xml:space="preserve">[17] </w:t>
      </w:r>
      <w:r>
        <w:tab/>
        <w:t xml:space="preserve">D. Durán N, J. S. Kaufman, A. Chiolero, and C. Carmeli, “Multiple causes of death data to track trends of mortality from chronic diseases: Insights from the COVID-19 pandemic in Switzerland,” </w:t>
      </w:r>
      <w:r>
        <w:rPr>
          <w:i/>
          <w:iCs/>
        </w:rPr>
        <w:t>Annals of Epidemiology</w:t>
      </w:r>
      <w:r>
        <w:t xml:space="preserve">, vol. 113, pp. 23–29, Jan. 2026, doi: </w:t>
      </w:r>
      <w:hyperlink r:id="rId23">
        <w:r>
          <w:rPr>
            <w:rStyle w:val="Hyperlink"/>
          </w:rPr>
          <w:t>10.1016/j.annepidem.2025.12.002</w:t>
        </w:r>
      </w:hyperlink>
      <w:r>
        <w:t>.</w:t>
      </w:r>
    </w:p>
    <w:p w14:paraId="393E0830" w14:textId="77777777" w:rsidR="00B24A57" w:rsidRDefault="00000000">
      <w:pPr>
        <w:pStyle w:val="Bibliography"/>
      </w:pPr>
      <w:bookmarkStart w:id="37" w:name="ref-weitkunat_mortality_2021"/>
      <w:bookmarkEnd w:id="36"/>
      <w:r>
        <w:t xml:space="preserve">[18] </w:t>
      </w:r>
      <w:r>
        <w:tab/>
        <w:t xml:space="preserve">R. Weitkunat, C. Junker, S. Caviezel, and K. Fehst, “Mortality monitoring in Switzerland,” </w:t>
      </w:r>
      <w:r>
        <w:rPr>
          <w:i/>
          <w:iCs/>
        </w:rPr>
        <w:t>Swiss Medical Weekly</w:t>
      </w:r>
      <w:r>
        <w:t xml:space="preserve">, vol. 151, no. 3738, pp. w30030–w30030, Sep. 2021, doi: </w:t>
      </w:r>
      <w:hyperlink r:id="rId24">
        <w:r>
          <w:rPr>
            <w:rStyle w:val="Hyperlink"/>
          </w:rPr>
          <w:t>10.4414/SMW.2021.w30030</w:t>
        </w:r>
      </w:hyperlink>
      <w:r>
        <w:t>.</w:t>
      </w:r>
    </w:p>
    <w:p w14:paraId="1BCCE09F" w14:textId="77777777" w:rsidR="00B24A57" w:rsidRDefault="00000000">
      <w:pPr>
        <w:pStyle w:val="Bibliography"/>
      </w:pPr>
      <w:bookmarkStart w:id="38" w:name="Xc7aebcb8d5a3e4f865cc2c1eda5bb6c4b617eca"/>
      <w:bookmarkEnd w:id="37"/>
      <w:r>
        <w:t xml:space="preserve">[19]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5">
        <w:r>
          <w:rPr>
            <w:rStyle w:val="Hyperlink"/>
          </w:rPr>
          <w:t>https://iris.who.int/handle/10665/44082</w:t>
        </w:r>
      </w:hyperlink>
    </w:p>
    <w:p w14:paraId="1DD1FCAB" w14:textId="77777777" w:rsidR="00B24A57" w:rsidRDefault="00000000">
      <w:pPr>
        <w:pStyle w:val="Bibliography"/>
      </w:pPr>
      <w:bookmarkStart w:id="39" w:name="ref-riutort-mayol_practical_2022"/>
      <w:bookmarkEnd w:id="38"/>
      <w:r>
        <w:t xml:space="preserve">[20] </w:t>
      </w:r>
      <w:r>
        <w:tab/>
        <w:t xml:space="preserve">G. Riutort-Mayol, P.-C. Bürkner, M. R. Andersen, A. Solin, and A. Vehtari, “Practical Hilbert space approximate Bayesian Gaussian processes for probabilistic programming.” arXiv, Mar. 2022. doi: </w:t>
      </w:r>
      <w:hyperlink r:id="rId26">
        <w:r>
          <w:rPr>
            <w:rStyle w:val="Hyperlink"/>
          </w:rPr>
          <w:t>10.48550/arXiv.2004.11408</w:t>
        </w:r>
      </w:hyperlink>
      <w:r>
        <w:t>.</w:t>
      </w:r>
    </w:p>
    <w:p w14:paraId="1BD6FBD9" w14:textId="77777777" w:rsidR="00B24A57" w:rsidRDefault="00000000">
      <w:pPr>
        <w:pStyle w:val="Bibliography"/>
      </w:pPr>
      <w:bookmarkStart w:id="40" w:name="ref-carpenter_stan_2017"/>
      <w:bookmarkEnd w:id="39"/>
      <w:r>
        <w:t xml:space="preserve">[21]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27">
        <w:r>
          <w:rPr>
            <w:rStyle w:val="Hyperlink"/>
          </w:rPr>
          <w:t>10.18637/jss.v076.i01</w:t>
        </w:r>
      </w:hyperlink>
      <w:r>
        <w:t>.</w:t>
      </w:r>
    </w:p>
    <w:p w14:paraId="21887180" w14:textId="77777777" w:rsidR="00B24A57" w:rsidRDefault="00000000">
      <w:pPr>
        <w:pStyle w:val="Bibliography"/>
      </w:pPr>
      <w:bookmarkStart w:id="41" w:name="ref-cai_three-year_2024"/>
      <w:bookmarkEnd w:id="40"/>
      <w:r>
        <w:t xml:space="preserve">[22] </w:t>
      </w:r>
      <w:r>
        <w:tab/>
        <w:t xml:space="preserve">M. Cai, Y. Xie, E. J. Topol, and Z. Al-Aly, “Three-year outcomes of post-acute sequelae of COVID-19,” </w:t>
      </w:r>
      <w:r>
        <w:rPr>
          <w:i/>
          <w:iCs/>
        </w:rPr>
        <w:t>Nature Medicine</w:t>
      </w:r>
      <w:r>
        <w:t xml:space="preserve">, vol. 30, no. 6, pp. 1564–1573, Jun. 2024, doi: </w:t>
      </w:r>
      <w:hyperlink r:id="rId28">
        <w:r>
          <w:rPr>
            <w:rStyle w:val="Hyperlink"/>
          </w:rPr>
          <w:t>10.1038/s41591-024-02987-8</w:t>
        </w:r>
      </w:hyperlink>
      <w:r>
        <w:t>.</w:t>
      </w:r>
    </w:p>
    <w:p w14:paraId="0A7701C9" w14:textId="77777777" w:rsidR="00B24A57" w:rsidRDefault="00000000">
      <w:pPr>
        <w:pStyle w:val="Bibliography"/>
      </w:pPr>
      <w:bookmarkStart w:id="42" w:name="ref-xie_long-term_2022"/>
      <w:bookmarkEnd w:id="41"/>
      <w:r>
        <w:t xml:space="preserve">[23] </w:t>
      </w:r>
      <w:r>
        <w:tab/>
        <w:t xml:space="preserve">Y. Xie, E. Xu, B. Bowe, and Z. Al-Aly, “Long-term cardiovascular outcomes of COVID-19,” </w:t>
      </w:r>
      <w:r>
        <w:rPr>
          <w:i/>
          <w:iCs/>
        </w:rPr>
        <w:t>Nature Medicine</w:t>
      </w:r>
      <w:r>
        <w:t xml:space="preserve">, vol. 28, no. 3, pp. 583–590, 2022, doi: </w:t>
      </w:r>
      <w:hyperlink r:id="rId29">
        <w:r>
          <w:rPr>
            <w:rStyle w:val="Hyperlink"/>
          </w:rPr>
          <w:t>10.1038/s41591-022-01689-3</w:t>
        </w:r>
      </w:hyperlink>
      <w:r>
        <w:t>.</w:t>
      </w:r>
    </w:p>
    <w:p w14:paraId="128C3E09" w14:textId="77777777" w:rsidR="00B24A57" w:rsidRDefault="00000000">
      <w:pPr>
        <w:pStyle w:val="Bibliography"/>
      </w:pPr>
      <w:bookmarkStart w:id="43" w:name="Xa64b14668c31051f82d307ce3ff528ea10a2cb9"/>
      <w:bookmarkEnd w:id="42"/>
      <w:r>
        <w:lastRenderedPageBreak/>
        <w:t xml:space="preserve">[24] </w:t>
      </w:r>
      <w:r>
        <w:tab/>
        <w:t>B. H. Foundation, “Excess deaths involving CVD in England since the onset of the Covid-19 pandemic: An analysis and explainer.”</w:t>
      </w:r>
    </w:p>
    <w:p w14:paraId="293493B9" w14:textId="77777777" w:rsidR="00B24A57" w:rsidRDefault="00000000">
      <w:pPr>
        <w:pStyle w:val="Bibliography"/>
      </w:pPr>
      <w:bookmarkStart w:id="44" w:name="ref-hansen_disentangling_2024"/>
      <w:bookmarkEnd w:id="43"/>
      <w:r>
        <w:t xml:space="preserve">[25] </w:t>
      </w:r>
      <w:r>
        <w:tab/>
        <w:t xml:space="preserve">C. L. Hansen, C. Viboud, and L. Simonsen, “Disentangling the relationship between cancer mortality and COVID-19 in the US,” </w:t>
      </w:r>
      <w:r>
        <w:rPr>
          <w:i/>
          <w:iCs/>
        </w:rPr>
        <w:t>eLife</w:t>
      </w:r>
      <w:r>
        <w:t xml:space="preserve">, vol. 13, Jul. 2024, doi: </w:t>
      </w:r>
      <w:hyperlink r:id="rId30">
        <w:r>
          <w:rPr>
            <w:rStyle w:val="Hyperlink"/>
          </w:rPr>
          <w:t>10.7554/eLife.93758.2</w:t>
        </w:r>
      </w:hyperlink>
      <w:r>
        <w:t>.</w:t>
      </w:r>
    </w:p>
    <w:p w14:paraId="6113D960" w14:textId="77777777" w:rsidR="00B24A57" w:rsidRDefault="00000000">
      <w:pPr>
        <w:pStyle w:val="Bibliography"/>
      </w:pPr>
      <w:bookmarkStart w:id="45" w:name="ref-brunner_comparative_2025"/>
      <w:bookmarkEnd w:id="44"/>
      <w:r>
        <w:t xml:space="preserve">[26]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1">
        <w:r>
          <w:rPr>
            <w:rStyle w:val="Hyperlink"/>
          </w:rPr>
          <w:t>10.1186/s12885-025-13818-5</w:t>
        </w:r>
      </w:hyperlink>
      <w:r>
        <w:t>.</w:t>
      </w:r>
    </w:p>
    <w:p w14:paraId="5187286B" w14:textId="77777777" w:rsidR="00B24A57" w:rsidRDefault="00000000">
      <w:pPr>
        <w:pStyle w:val="Bibliography"/>
      </w:pPr>
      <w:bookmarkStart w:id="46" w:name="ref-fares_winter_2013"/>
      <w:bookmarkEnd w:id="45"/>
      <w:r>
        <w:t xml:space="preserve">[27] </w:t>
      </w:r>
      <w:r>
        <w:tab/>
        <w:t xml:space="preserve">A. Fares, “Winter Cardiovascular Diseases Phenomenon,” </w:t>
      </w:r>
      <w:r>
        <w:rPr>
          <w:i/>
          <w:iCs/>
        </w:rPr>
        <w:t>North American Journal of Medical Sciences</w:t>
      </w:r>
      <w:r>
        <w:t xml:space="preserve">, vol. 5, no. 4, pp. 266–279, Apr. 2013, doi: </w:t>
      </w:r>
      <w:hyperlink r:id="rId32">
        <w:r>
          <w:rPr>
            <w:rStyle w:val="Hyperlink"/>
          </w:rPr>
          <w:t>10.4103/1947-2714.110430</w:t>
        </w:r>
      </w:hyperlink>
      <w:r>
        <w:t>.</w:t>
      </w:r>
    </w:p>
    <w:p w14:paraId="492663F7" w14:textId="77777777" w:rsidR="00B24A57" w:rsidRDefault="00000000">
      <w:pPr>
        <w:pStyle w:val="Bibliography"/>
      </w:pPr>
      <w:bookmarkStart w:id="47" w:name="ref-warren-gash_influenza_2009"/>
      <w:bookmarkEnd w:id="46"/>
      <w:r>
        <w:t xml:space="preserve">[28]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3">
        <w:r>
          <w:rPr>
            <w:rStyle w:val="Hyperlink"/>
          </w:rPr>
          <w:t>10.1016/S1473-3099(09)70233-6</w:t>
        </w:r>
      </w:hyperlink>
      <w:r>
        <w:t>.</w:t>
      </w:r>
    </w:p>
    <w:p w14:paraId="60D5E56D" w14:textId="77777777" w:rsidR="00B24A57" w:rsidRDefault="00000000">
      <w:pPr>
        <w:pStyle w:val="Bibliography"/>
      </w:pPr>
      <w:bookmarkStart w:id="48" w:name="ref-andrews_estimating_2025"/>
      <w:bookmarkEnd w:id="47"/>
      <w:r>
        <w:t xml:space="preserve">[29] </w:t>
      </w:r>
      <w:r>
        <w:tab/>
        <w:t>N. Andrews and C. Watson, “Estimating the contribution of influenza, COVID-19 and extreme cold weather to excess mortality: A working paper update for 2024,” 2025.</w:t>
      </w:r>
    </w:p>
    <w:p w14:paraId="08CF799E" w14:textId="77777777" w:rsidR="00B24A57" w:rsidRDefault="00000000">
      <w:pPr>
        <w:pStyle w:val="Bibliography"/>
      </w:pPr>
      <w:bookmarkStart w:id="49" w:name="ref-nielsen_excess_2011"/>
      <w:bookmarkEnd w:id="48"/>
      <w:r>
        <w:t xml:space="preserve">[30]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34">
        <w:r>
          <w:rPr>
            <w:rStyle w:val="Hyperlink"/>
          </w:rPr>
          <w:t>10.1186/1471-2334-11-350</w:t>
        </w:r>
      </w:hyperlink>
      <w:r>
        <w:t>.</w:t>
      </w:r>
    </w:p>
    <w:p w14:paraId="1A794EE9" w14:textId="77777777" w:rsidR="00B24A57" w:rsidRDefault="00000000">
      <w:pPr>
        <w:pStyle w:val="Bibliography"/>
      </w:pPr>
      <w:bookmarkStart w:id="50" w:name="ref-achilleos_excess_2022"/>
      <w:bookmarkEnd w:id="49"/>
      <w:r>
        <w:t xml:space="preserve">[31]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5">
        <w:r>
          <w:rPr>
            <w:rStyle w:val="Hyperlink"/>
          </w:rPr>
          <w:t>10.1093/ije/dyab123</w:t>
        </w:r>
      </w:hyperlink>
      <w:r>
        <w:t>.</w:t>
      </w:r>
    </w:p>
    <w:p w14:paraId="3AD4F013" w14:textId="77777777" w:rsidR="00B24A57" w:rsidRDefault="00000000">
      <w:pPr>
        <w:pStyle w:val="Bibliography"/>
      </w:pPr>
      <w:bookmarkStart w:id="51" w:name="ref-zhang_age-related_2022"/>
      <w:bookmarkEnd w:id="50"/>
      <w:r>
        <w:t xml:space="preserve">[32]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36">
        <w:r>
          <w:rPr>
            <w:rStyle w:val="Hyperlink"/>
          </w:rPr>
          <w:t>10.3389/fmed.2021.757459</w:t>
        </w:r>
      </w:hyperlink>
      <w:r>
        <w:t>.</w:t>
      </w:r>
    </w:p>
    <w:p w14:paraId="160AE1EC" w14:textId="77777777" w:rsidR="00B24A57" w:rsidRDefault="00000000">
      <w:pPr>
        <w:pStyle w:val="Bibliography"/>
      </w:pPr>
      <w:bookmarkStart w:id="52" w:name="ref-carollo_competing_2024"/>
      <w:bookmarkEnd w:id="51"/>
      <w:r>
        <w:t xml:space="preserve">[33] </w:t>
      </w:r>
      <w:r>
        <w:tab/>
        <w:t xml:space="preserve">A. Carollo, H. Putter, P. H. C. Eilers, and J. Gampe, “Competing risks models with two time scales,” </w:t>
      </w:r>
      <w:r>
        <w:rPr>
          <w:i/>
          <w:iCs/>
        </w:rPr>
        <w:t>arXiv.org</w:t>
      </w:r>
      <w:r>
        <w:t xml:space="preserve">. Aug. 2024. Accessed: Jun. 19, 2025. [Online]. Available: </w:t>
      </w:r>
      <w:hyperlink r:id="rId37">
        <w:r>
          <w:rPr>
            <w:rStyle w:val="Hyperlink"/>
          </w:rPr>
          <w:t>https://arxiv.org/abs/2408.15058v1</w:t>
        </w:r>
      </w:hyperlink>
    </w:p>
    <w:bookmarkEnd w:id="20"/>
    <w:bookmarkEnd w:id="52"/>
    <w:p w14:paraId="3A89C61E" w14:textId="77777777" w:rsidR="00B24A57" w:rsidRDefault="00000000">
      <w:r>
        <w:br w:type="page"/>
      </w:r>
    </w:p>
    <w:p w14:paraId="52824D41" w14:textId="77777777" w:rsidR="00B24A57" w:rsidRDefault="00000000">
      <w:pPr>
        <w:pStyle w:val="Heading1"/>
      </w:pPr>
      <w:bookmarkStart w:id="53" w:name="figures"/>
      <w:bookmarkEnd w:id="18"/>
      <w:r>
        <w:rPr>
          <w:rStyle w:val="SectionNumber"/>
        </w:rPr>
        <w:lastRenderedPageBreak/>
        <w:t>7</w:t>
      </w:r>
      <w:r>
        <w:tab/>
        <w:t>Figures</w:t>
      </w:r>
    </w:p>
    <w:p w14:paraId="6BDAA714" w14:textId="77777777" w:rsidR="00B24A57" w:rsidRDefault="00000000">
      <w:pPr>
        <w:pStyle w:val="FirstParagraph"/>
      </w:pPr>
      <w:r>
        <w:rPr>
          <w:noProof/>
        </w:rPr>
        <w:drawing>
          <wp:inline distT="0" distB="0" distL="0" distR="0" wp14:anchorId="40C24C70" wp14:editId="78FB3D8D">
            <wp:extent cx="5943600" cy="29718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causes-of-deaths_manuscript_files/figure-docx/unnamed-chunk-5-1.png"/>
                    <pic:cNvPicPr>
                      <a:picLocks noChangeAspect="1" noChangeArrowheads="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14:paraId="3E489CC2" w14:textId="77777777" w:rsidR="00B24A57" w:rsidRDefault="00000000">
      <w:pPr>
        <w:pStyle w:val="BodyText"/>
      </w:pPr>
      <w:r>
        <w:rPr>
          <w:b/>
          <w:bCs/>
        </w:rPr>
        <w:t>Figure 1.</w:t>
      </w:r>
      <w:r>
        <w:t xml:space="preserve"> Cause-of-death data in 2020-21. A. Number of deaths by age groups in 2020-21. B. Distribution of the deaths occured in 2020-21 over the nine causes of deaths for each age group.</w:t>
      </w:r>
    </w:p>
    <w:p w14:paraId="02B286F0" w14:textId="77777777" w:rsidR="00B24A57" w:rsidRDefault="00000000">
      <w:pPr>
        <w:pStyle w:val="BodyText"/>
      </w:pPr>
      <w:r>
        <w:rPr>
          <w:noProof/>
        </w:rPr>
        <w:lastRenderedPageBreak/>
        <w:drawing>
          <wp:inline distT="0" distB="0" distL="0" distR="0" wp14:anchorId="59753465" wp14:editId="0067EF5F">
            <wp:extent cx="5943600" cy="832104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causes-of-deaths_manuscript_files/figure-docx/unnamed-chunk-6-1.png"/>
                    <pic:cNvPicPr>
                      <a:picLocks noChangeAspect="1" noChangeArrowheads="1"/>
                    </pic:cNvPicPr>
                  </pic:nvPicPr>
                  <pic:blipFill>
                    <a:blip r:embed="rId39"/>
                    <a:stretch>
                      <a:fillRect/>
                    </a:stretch>
                  </pic:blipFill>
                  <pic:spPr bwMode="auto">
                    <a:xfrm>
                      <a:off x="0" y="0"/>
                      <a:ext cx="5943600" cy="8321040"/>
                    </a:xfrm>
                    <a:prstGeom prst="rect">
                      <a:avLst/>
                    </a:prstGeom>
                    <a:noFill/>
                    <a:ln w="9525">
                      <a:noFill/>
                      <a:headEnd/>
                      <a:tailEnd/>
                    </a:ln>
                  </pic:spPr>
                </pic:pic>
              </a:graphicData>
            </a:graphic>
          </wp:inline>
        </w:drawing>
      </w:r>
    </w:p>
    <w:p w14:paraId="15EF4B1B" w14:textId="77777777" w:rsidR="00B24A57"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1820FAD8" w14:textId="77777777" w:rsidR="00B24A57" w:rsidRDefault="00000000">
      <w:pPr>
        <w:pStyle w:val="BodyText"/>
      </w:pPr>
      <w:r>
        <w:rPr>
          <w:noProof/>
        </w:rPr>
        <w:drawing>
          <wp:inline distT="0" distB="0" distL="0" distR="0" wp14:anchorId="2E56B979" wp14:editId="50162602">
            <wp:extent cx="5943600" cy="6483927"/>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causes-of-deaths_manuscript_files/figure-docx/unnamed-chunk-7-1.png"/>
                    <pic:cNvPicPr>
                      <a:picLocks noChangeAspect="1" noChangeArrowheads="1"/>
                    </pic:cNvPicPr>
                  </pic:nvPicPr>
                  <pic:blipFill>
                    <a:blip r:embed="rId40"/>
                    <a:stretch>
                      <a:fillRect/>
                    </a:stretch>
                  </pic:blipFill>
                  <pic:spPr bwMode="auto">
                    <a:xfrm>
                      <a:off x="0" y="0"/>
                      <a:ext cx="5943600" cy="6483927"/>
                    </a:xfrm>
                    <a:prstGeom prst="rect">
                      <a:avLst/>
                    </a:prstGeom>
                    <a:noFill/>
                    <a:ln w="9525">
                      <a:noFill/>
                      <a:headEnd/>
                      <a:tailEnd/>
                    </a:ln>
                  </pic:spPr>
                </pic:pic>
              </a:graphicData>
            </a:graphic>
          </wp:inline>
        </w:drawing>
      </w:r>
    </w:p>
    <w:p w14:paraId="4443E525" w14:textId="77777777" w:rsidR="00B24A57"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credibility intervals. B. Cumulative number of excess deaths with (in yellow) or without (in red) COVID-19 deaths, for each age group.</w:t>
      </w:r>
    </w:p>
    <w:p w14:paraId="7BBA8A83" w14:textId="77777777" w:rsidR="00B24A57" w:rsidRDefault="00000000">
      <w:pPr>
        <w:pStyle w:val="BodyText"/>
      </w:pPr>
      <w:r>
        <w:rPr>
          <w:noProof/>
        </w:rPr>
        <w:drawing>
          <wp:inline distT="0" distB="0" distL="0" distR="0" wp14:anchorId="7CBCF4C9" wp14:editId="7807CFF5">
            <wp:extent cx="5943600" cy="4664075"/>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causes-of-deaths_manuscript_files/figure-docx/unnamed-chunk-8-1.png"/>
                    <pic:cNvPicPr>
                      <a:picLocks noChangeAspect="1" noChangeArrowheads="1"/>
                    </pic:cNvPicPr>
                  </pic:nvPicPr>
                  <pic:blipFill>
                    <a:blip r:embed="rId41"/>
                    <a:stretch>
                      <a:fillRect/>
                    </a:stretch>
                  </pic:blipFill>
                  <pic:spPr bwMode="auto">
                    <a:xfrm>
                      <a:off x="0" y="0"/>
                      <a:ext cx="5943600" cy="4664075"/>
                    </a:xfrm>
                    <a:prstGeom prst="rect">
                      <a:avLst/>
                    </a:prstGeom>
                    <a:noFill/>
                    <a:ln w="9525">
                      <a:noFill/>
                      <a:headEnd/>
                      <a:tailEnd/>
                    </a:ln>
                  </pic:spPr>
                </pic:pic>
              </a:graphicData>
            </a:graphic>
          </wp:inline>
        </w:drawing>
      </w:r>
    </w:p>
    <w:p w14:paraId="3E60CE22" w14:textId="77777777" w:rsidR="00B24A57"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credibility intervals of the relative excess mortality by phase, respectively. The phases are delimited by the dashed vertical lines. Panels A to D represent the different age groups. See Fig S5-S9 for the excess mortality by phase for each cause and each age group.</w:t>
      </w:r>
    </w:p>
    <w:p w14:paraId="22D0C2A6" w14:textId="77777777" w:rsidR="00B24A57" w:rsidRDefault="00000000">
      <w:pPr>
        <w:pStyle w:val="BodyText"/>
      </w:pPr>
      <w:r>
        <w:rPr>
          <w:noProof/>
        </w:rPr>
        <w:lastRenderedPageBreak/>
        <w:drawing>
          <wp:inline distT="0" distB="0" distL="0" distR="0" wp14:anchorId="5EC1DD78" wp14:editId="4E5A1AFC">
            <wp:extent cx="5943600" cy="59436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auses-of-deaths_manuscript_files/figure-docx/unnamed-chunk-9-1.png"/>
                    <pic:cNvPicPr>
                      <a:picLocks noChangeAspect="1" noChangeArrowheads="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p w14:paraId="3DC81B0B" w14:textId="77777777" w:rsidR="00B24A57"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bookmarkEnd w:id="53"/>
    </w:p>
    <w:sectPr w:rsidR="00B24A57" w:rsidSect="008E7F44">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6C15C" w14:textId="77777777" w:rsidR="00D376B6" w:rsidRDefault="00D376B6">
      <w:pPr>
        <w:spacing w:after="0"/>
      </w:pPr>
      <w:r>
        <w:separator/>
      </w:r>
    </w:p>
  </w:endnote>
  <w:endnote w:type="continuationSeparator" w:id="0">
    <w:p w14:paraId="3F43A324" w14:textId="77777777" w:rsidR="00D376B6" w:rsidRDefault="00D376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0F91" w14:textId="77777777" w:rsidR="00D376B6" w:rsidRDefault="00D376B6">
      <w:pPr>
        <w:spacing w:after="0"/>
      </w:pPr>
      <w:r>
        <w:separator/>
      </w:r>
    </w:p>
  </w:footnote>
  <w:footnote w:type="continuationSeparator" w:id="0">
    <w:p w14:paraId="3EC9D92D" w14:textId="77777777" w:rsidR="00D376B6" w:rsidRDefault="00D376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943541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1316B"/>
    <w:rsid w:val="008435CE"/>
    <w:rsid w:val="008E7F44"/>
    <w:rsid w:val="009B35F5"/>
    <w:rsid w:val="00A6392B"/>
    <w:rsid w:val="00AB51FA"/>
    <w:rsid w:val="00B24A57"/>
    <w:rsid w:val="00C263CF"/>
    <w:rsid w:val="00D376B6"/>
    <w:rsid w:val="00DD595C"/>
    <w:rsid w:val="00D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2080C"/>
  <w15:docId w15:val="{D4614746-7572-4C1C-962E-BB9A3AA7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LineNumber">
    <w:name w:val="line number"/>
    <w:basedOn w:val="DefaultParagraphFont"/>
    <w:semiHidden/>
    <w:unhideWhenUsed/>
    <w:rsid w:val="008E7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2-35770-9" TargetMode="External"/><Relationship Id="rId18" Type="http://schemas.openxmlformats.org/officeDocument/2006/relationships/hyperlink" Target="https://doi.org/10.1007/s10654-024-01154-0" TargetMode="External"/><Relationship Id="rId26" Type="http://schemas.openxmlformats.org/officeDocument/2006/relationships/hyperlink" Target="https://doi.org/10.48550/arXiv.2004.11408" TargetMode="External"/><Relationship Id="rId39" Type="http://schemas.openxmlformats.org/officeDocument/2006/relationships/image" Target="media/image2.png"/><Relationship Id="rId21" Type="http://schemas.openxmlformats.org/officeDocument/2006/relationships/hyperlink" Target="https://doi.org/10.1038/s41467-022-28157-3" TargetMode="External"/><Relationship Id="rId34" Type="http://schemas.openxmlformats.org/officeDocument/2006/relationships/hyperlink" Target="https://doi.org/10.1186/1471-2334-11-350" TargetMode="External"/><Relationship Id="rId42" Type="http://schemas.openxmlformats.org/officeDocument/2006/relationships/image" Target="media/image5.png"/><Relationship Id="rId7" Type="http://schemas.openxmlformats.org/officeDocument/2006/relationships/hyperlink" Target="https://github.com/XX/causes-of-deaths" TargetMode="External"/><Relationship Id="rId2" Type="http://schemas.openxmlformats.org/officeDocument/2006/relationships/styles" Target="styles.xml"/><Relationship Id="rId16" Type="http://schemas.openxmlformats.org/officeDocument/2006/relationships/hyperlink" Target="https://doi.org/10.1093/ije/dyaf006" TargetMode="External"/><Relationship Id="rId20" Type="http://schemas.openxmlformats.org/officeDocument/2006/relationships/hyperlink" Target="https://doi.org/10.1093/eurpub/ckad230" TargetMode="External"/><Relationship Id="rId29" Type="http://schemas.openxmlformats.org/officeDocument/2006/relationships/hyperlink" Target="https://doi.org/10.1038/s41591-022-01689-3" TargetMode="External"/><Relationship Id="rId41"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4161-023-00220-2" TargetMode="External"/><Relationship Id="rId24" Type="http://schemas.openxmlformats.org/officeDocument/2006/relationships/hyperlink" Target="https://doi.org/10.4414/SMW.2021.w30030" TargetMode="External"/><Relationship Id="rId32" Type="http://schemas.openxmlformats.org/officeDocument/2006/relationships/hyperlink" Target="https://doi.org/10.4103/1947-2714.110430" TargetMode="External"/><Relationship Id="rId37" Type="http://schemas.openxmlformats.org/officeDocument/2006/relationships/hyperlink" Target="https://arxiv.org/abs/2408.15058v1" TargetMode="External"/><Relationship Id="rId40"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i.org/10.1017/S1748499523000118" TargetMode="External"/><Relationship Id="rId23" Type="http://schemas.openxmlformats.org/officeDocument/2006/relationships/hyperlink" Target="https://doi.org/10.1016/j.annepidem.2025.12.002" TargetMode="External"/><Relationship Id="rId28" Type="http://schemas.openxmlformats.org/officeDocument/2006/relationships/hyperlink" Target="https://doi.org/10.1038/s41591-024-02987-8" TargetMode="External"/><Relationship Id="rId36" Type="http://schemas.openxmlformats.org/officeDocument/2006/relationships/hyperlink" Target="https://doi.org/10.3389/fmed.2021.757459" TargetMode="External"/><Relationship Id="rId10" Type="http://schemas.openxmlformats.org/officeDocument/2006/relationships/hyperlink" Target="https://doi.org/10.1016/S1470-2045(20)30388-0" TargetMode="External"/><Relationship Id="rId19" Type="http://schemas.openxmlformats.org/officeDocument/2006/relationships/hyperlink" Target="https://doi.org/10.1371/journal.pone.0281683" TargetMode="External"/><Relationship Id="rId31" Type="http://schemas.openxmlformats.org/officeDocument/2006/relationships/hyperlink" Target="https://doi.org/10.1186/s12885-025-13818-5"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38/s41598-024-68604-3" TargetMode="External"/><Relationship Id="rId14" Type="http://schemas.openxmlformats.org/officeDocument/2006/relationships/hyperlink" Target="https://doi.org/10.1177/0141076820956802" TargetMode="External"/><Relationship Id="rId22" Type="http://schemas.openxmlformats.org/officeDocument/2006/relationships/hyperlink" Target="https://www.swissstats.bfs.admin.ch/data/webviewer/appId/ch.admin.bfs.swissstat/article/issue231412602200-01/package" TargetMode="External"/><Relationship Id="rId27" Type="http://schemas.openxmlformats.org/officeDocument/2006/relationships/hyperlink" Target="https://doi.org/10.18637/jss.v076.i01" TargetMode="External"/><Relationship Id="rId30" Type="http://schemas.openxmlformats.org/officeDocument/2006/relationships/hyperlink" Target="https://doi.org/10.7554/eLife.93758.2" TargetMode="External"/><Relationship Id="rId35" Type="http://schemas.openxmlformats.org/officeDocument/2006/relationships/hyperlink" Target="https://doi.org/10.1093/ije/dyab123" TargetMode="External"/><Relationship Id="rId43" Type="http://schemas.openxmlformats.org/officeDocument/2006/relationships/fontTable" Target="fontTable.xml"/><Relationship Id="rId8" Type="http://schemas.openxmlformats.org/officeDocument/2006/relationships/hyperlink" Target="https://doi.org/10.1111/ajt.16381" TargetMode="External"/><Relationship Id="rId3" Type="http://schemas.openxmlformats.org/officeDocument/2006/relationships/settings" Target="settings.xml"/><Relationship Id="rId12" Type="http://schemas.openxmlformats.org/officeDocument/2006/relationships/hyperlink" Target="https://doi.org/10.1186/s12874-023-01984-8" TargetMode="External"/><Relationship Id="rId17" Type="http://schemas.openxmlformats.org/officeDocument/2006/relationships/hyperlink" Target="https://doi.org/10.1007/s44197-024-00242-4" TargetMode="External"/><Relationship Id="rId25" Type="http://schemas.openxmlformats.org/officeDocument/2006/relationships/hyperlink" Target="https://iris.who.int/handle/10665/44082" TargetMode="External"/><Relationship Id="rId33" Type="http://schemas.openxmlformats.org/officeDocument/2006/relationships/hyperlink" Target="https://doi.org/10.1016/S1473-3099(09)70233-6" TargetMode="External"/><Relationship Id="rId3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6492</Words>
  <Characters>35708</Characters>
  <Application>Microsoft Office Word</Application>
  <DocSecurity>0</DocSecurity>
  <Lines>297</Lines>
  <Paragraphs>84</Paragraphs>
  <ScaleCrop>false</ScaleCrop>
  <Company/>
  <LinksUpToDate>false</LinksUpToDate>
  <CharactersWithSpaces>42116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
  <cp:keywords/>
  <cp:lastModifiedBy>Hauser Anthony</cp:lastModifiedBy>
  <cp:revision>2</cp:revision>
  <dcterms:created xsi:type="dcterms:W3CDTF">2026-05-28T15:17:00Z</dcterms:created>
  <dcterms:modified xsi:type="dcterms:W3CDTF">2026-05-28T15:19:00Z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