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6.png" ContentType="image/png"/>
  <Override PartName="/word/media/rId49.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COVID-19 disrupted patterns of cause-specific mortality in Switzerland</w:t>
      </w:r>
    </w:p>
    <w:p>
      <w:pPr>
        <w:pStyle w:val="Author"/>
      </w:pPr>
      <w:r>
        <w:t xml:space="preserve">Anthony Hauser* (1), Moritz Wagner (2), Anna Fesser† (2), Karim Abawi (3), Anne Laube (2), Garyfallos Konstantinoudis (4), Julien Riou (1)</w:t>
      </w:r>
    </w:p>
    <w:p>
      <w:pPr>
        <w:pStyle w:val="Compact"/>
        <w:numPr>
          <w:ilvl w:val="0"/>
          <w:numId w:val="1001"/>
        </w:numPr>
      </w:pPr>
      <w:r>
        <w:t xml:space="preserve">Department of Epidemiology and Health Systems, Unisanté, Center for Primary Care and Public Health and University of Lausanne, Lausanne, Switzerland;</w:t>
      </w:r>
    </w:p>
    <w:p>
      <w:pPr>
        <w:pStyle w:val="Compact"/>
        <w:numPr>
          <w:ilvl w:val="0"/>
          <w:numId w:val="1001"/>
        </w:numPr>
      </w:pPr>
      <w:r>
        <w:t xml:space="preserve">Federal Statistical Office, Neuchâtel, Switzerland;</w:t>
      </w:r>
    </w:p>
    <w:p>
      <w:pPr>
        <w:pStyle w:val="Compact"/>
        <w:numPr>
          <w:ilvl w:val="0"/>
          <w:numId w:val="1001"/>
        </w:numPr>
      </w:pPr>
      <w:r>
        <w:t xml:space="preserve">Federal Office of Public Health, Communicable Diseases Division, Bern, Switzerland;</w:t>
      </w:r>
    </w:p>
    <w:p>
      <w:pPr>
        <w:pStyle w:val="Compact"/>
        <w:numPr>
          <w:ilvl w:val="0"/>
          <w:numId w:val="1001"/>
        </w:numPr>
      </w:pPr>
      <w:r>
        <w:t xml:space="preserve">Grantham Institute for Climate Change and the Environment, Imperial College London, London, UK;</w:t>
      </w:r>
    </w:p>
    <w:p>
      <w:pPr>
        <w:pStyle w:val="FirstParagraph"/>
      </w:pPr>
      <w:r>
        <w:t xml:space="preserve">(*) Corresponding author:</w:t>
      </w:r>
      <w:r>
        <w:t xml:space="preserve"> </w:t>
      </w:r>
      <w:hyperlink r:id="rId20">
        <w:r>
          <w:rPr>
            <w:rStyle w:val="Hyperlink"/>
          </w:rPr>
          <w:t xml:space="preserve">anthony.hauser@unisante.ch</w:t>
        </w:r>
      </w:hyperlink>
      <w:r>
        <w:t xml:space="preserve"> </w:t>
      </w:r>
      <w:r>
        <w:t xml:space="preserve">(†) former affiliation</w:t>
      </w:r>
    </w:p>
    <w:bookmarkStart w:id="21" w:name="abstract"/>
    <w:p>
      <w:pPr>
        <w:pStyle w:val="Heading1"/>
      </w:pPr>
      <w:r>
        <w:rPr>
          <w:rStyle w:val="SectionNumber"/>
        </w:rPr>
        <w:t xml:space="preserve">1</w:t>
      </w:r>
      <w:r>
        <w:tab/>
      </w:r>
      <w:r>
        <w:t xml:space="preserve">Abstract</w:t>
      </w:r>
    </w:p>
    <w:p>
      <w:pPr>
        <w:pStyle w:val="FirstParagraph"/>
      </w:pPr>
      <w:r>
        <w:t xml:space="preserve">The COVID-19 pandemic disrupted mortality patterns beyond deaths directly attributed to SARS-CoV-2.</w:t>
      </w:r>
      <w:r>
        <w:t xml:space="preserve"> </w:t>
      </w:r>
      <w:r>
        <w:t xml:space="preserve">To understand these disruptions, we analysed Swiss weekly deaths (2011–2021) by age, sex, region, and nine cause groups.</w:t>
      </w:r>
      <w:r>
        <w:t xml:space="preserve"> </w:t>
      </w:r>
      <w:r>
        <w:t xml:space="preserve">For each age group, a Bayesian multivariate Poisson model was fitted to 2011–2019 data, accounting for seasonality, long-term trends, and cross-cause dependence.</w:t>
      </w:r>
      <w:r>
        <w:t xml:space="preserve"> </w:t>
      </w:r>
      <w:r>
        <w:t xml:space="preserve">Comparing predictions with 2020–2021 observations revealed age- and cause-specific excesses.</w:t>
      </w:r>
      <w:r>
        <w:t xml:space="preserve"> </w:t>
      </w:r>
      <w:r>
        <w:t xml:space="preserve">Cardiovascular deaths peaked during the autumn 2020 wave, while no cause showed sustained excess across 2020–2021.</w:t>
      </w:r>
      <w:r>
        <w:t xml:space="preserve"> </w:t>
      </w:r>
      <w:r>
        <w:t xml:space="preserve">In individuals aged ≥80 years, non-COVID respiratory (–25%) and mental/neurological (–12%) deaths declined, largely offset by COVID-19 deaths, leaving a modest +4.5% all-cause excess.</w:t>
      </w:r>
      <w:r>
        <w:t xml:space="preserve"> </w:t>
      </w:r>
      <w:r>
        <w:t xml:space="preserve">Cardiovascular and mental/neurological excesses correlated with COVID-19 and other respiratory excesses, reflecting strong pre-pandemic cross-cause correlations (</w:t>
      </w:r>
      <m:oMath>
        <m:r>
          <m:t>ρ</m:t>
        </m:r>
        <m:r>
          <m:rPr>
            <m:sty m:val="p"/>
          </m:rPr>
          <m:t>&gt;</m:t>
        </m:r>
        <m:r>
          <m:t>0.80</m:t>
        </m:r>
      </m:oMath>
      <w:r>
        <w:t xml:space="preserve">).</w:t>
      </w:r>
      <w:r>
        <w:t xml:space="preserve"> </w:t>
      </w:r>
      <w:r>
        <w:t xml:space="preserve">These patterns likely reflect three overlapping mechanisms: reduced circulation of non-COVID-19 respiratory pathogens, unrecognized COVID-19 deaths (especially cardiovascular), and mortality displacement, pointing to possible underestimation of the true respiratory burden.</w:t>
      </w:r>
    </w:p>
    <w:p>
      <w:r>
        <w:br w:type="page"/>
      </w:r>
    </w:p>
    <w:bookmarkEnd w:id="21"/>
    <w:bookmarkStart w:id="22" w:name="introduction"/>
    <w:p>
      <w:pPr>
        <w:pStyle w:val="Heading1"/>
      </w:pPr>
      <w:r>
        <w:rPr>
          <w:rStyle w:val="SectionNumber"/>
        </w:rPr>
        <w:t xml:space="preserve">2</w:t>
      </w:r>
      <w:r>
        <w:tab/>
      </w:r>
      <w:r>
        <w:t xml:space="preserve">Introduction</w:t>
      </w:r>
    </w:p>
    <w:p>
      <w:pPr>
        <w:pStyle w:val="FirstParagraph"/>
      </w:pPr>
      <w:r>
        <w:t xml:space="preserve">The COVID-19 pandemic has had a profound impact on mortality patterns worldwide.</w:t>
      </w:r>
      <w:r>
        <w:t xml:space="preserve"> </w:t>
      </w:r>
      <w:r>
        <w:t xml:space="preserve">While much attention has focused on deaths directly attributed to SARS-CoV-2 infection, the total mortality burden linked to the pandemic extends well beyond these immediate effects, reflecting multiple interrelated disruptions to mortality patterns occurring over the short, medium and long term.</w:t>
      </w:r>
      <w:r>
        <w:t xml:space="preserve"> </w:t>
      </w:r>
      <w:r>
        <w:t xml:space="preserve">First, non-pharmaceutical control measures considerably reduced deaths from other respiratory diseases by limiting the circulation of seasonal viruses</w:t>
      </w:r>
      <w:r>
        <w:t xml:space="preserve"> </w:t>
      </w:r>
      <w:r>
        <w:t xml:space="preserve">[1]</w:t>
      </w:r>
      <w:r>
        <w:t xml:space="preserve">.</w:t>
      </w:r>
      <w:r>
        <w:t xml:space="preserve"> </w:t>
      </w:r>
      <w:r>
        <w:t xml:space="preserve">Second, changes in mobility and social behavior also affected deaths from external causes, with fewer accidents due to reduced mobility and a possible influence of psychosocial stress on suicide risk</w:t>
      </w:r>
      <w:r>
        <w:t xml:space="preserve"> </w:t>
      </w:r>
      <w:r>
        <w:t xml:space="preserve">[2]</w:t>
      </w:r>
      <w:r>
        <w:t xml:space="preserve">.</w:t>
      </w:r>
      <w:r>
        <w:t xml:space="preserve"> </w:t>
      </w:r>
      <w:r>
        <w:t xml:space="preserve">Third, in some countries, healthcare disruptions delayed diagnoses and treatment, particularly for cancer, potentially increasing mortality from certain chronic illnesses</w:t>
      </w:r>
      <w:r>
        <w:t xml:space="preserve"> </w:t>
      </w:r>
      <w:r>
        <w:t xml:space="preserve">[3]</w:t>
      </w:r>
      <w:r>
        <w:t xml:space="preserve">.</w:t>
      </w:r>
      <w:r>
        <w:t xml:space="preserve"> </w:t>
      </w:r>
      <w:r>
        <w:t xml:space="preserve">Fourth, SARS-CoV-2 infection itself may have contributed to deaths attributed to other causes, especially from cardiovascular causes, either through undiagnosed infection at the time of death or long-term complications</w:t>
      </w:r>
      <w:r>
        <w:t xml:space="preserve"> </w:t>
      </w:r>
      <w:r>
        <w:t xml:space="preserve">[4]</w:t>
      </w:r>
      <w:r>
        <w:t xml:space="preserve">.</w:t>
      </w:r>
      <w:r>
        <w:t xml:space="preserve"> </w:t>
      </w:r>
      <w:r>
        <w:t xml:space="preserve">Finally, the COVID-19 pandemic induced mortality displacement, both over time and across causes, by disproportionately affecting frail individuals (older people or patients with poor prognoses) and thereby altering the risk profile of the surviving population</w:t>
      </w:r>
      <w:r>
        <w:t xml:space="preserve"> </w:t>
      </w:r>
      <w:r>
        <w:t xml:space="preserve">[5]</w:t>
      </w:r>
      <w:r>
        <w:t xml:space="preserve">.</w:t>
      </w:r>
      <w:r>
        <w:t xml:space="preserve"> </w:t>
      </w:r>
      <w:r>
        <w:t xml:space="preserve">Studies excluding COVID-19-attributed deaths have shown that mortality from other causes sometimes fell below expected levels, highlighting these indirect effects</w:t>
      </w:r>
      <w:r>
        <w:t xml:space="preserve"> </w:t>
      </w:r>
      <w:r>
        <w:t xml:space="preserve">[6]</w:t>
      </w:r>
      <w:r>
        <w:t xml:space="preserve">.</w:t>
      </w:r>
    </w:p>
    <w:p>
      <w:pPr>
        <w:pStyle w:val="BodyText"/>
      </w:pPr>
      <w:r>
        <w:t xml:space="preserve">Given the limitations of COVID-19-attributed mortality, which is prone to underascertainment and only captures immediate consequences of infection, other metrics have come to the forefront to measure the burden of infection</w:t>
      </w:r>
      <w:r>
        <w:t xml:space="preserve"> </w:t>
      </w:r>
      <w:r>
        <w:t xml:space="preserve">[7]</w:t>
      </w:r>
      <w:r>
        <w:t xml:space="preserve">.</w:t>
      </w:r>
      <w:r>
        <w:t xml:space="preserve"> </w:t>
      </w:r>
      <w:r>
        <w:t xml:space="preserve">All-cause excess mortality, defined as the difference between observed deaths and the counterfactual number that would have been expected in the absence of pandemic - is more robust, as it does not rely on cause-of-death classification and captures the total mortality impact.</w:t>
      </w:r>
      <w:r>
        <w:t xml:space="preserve"> </w:t>
      </w:r>
      <w:r>
        <w:t xml:space="preserve">However, as a composite measure, it cannot identify whether apparent increases in some causes are offset by decreases in others.</w:t>
      </w:r>
      <w:r>
        <w:t xml:space="preserve"> </w:t>
      </w:r>
      <w:r>
        <w:t xml:space="preserve">A natural extension is to estimate cause-specific excess mortality, which allows quantifying the contributions of individual causes over time and, when aggregated, could provide more accurate assessment of total excess mortality</w:t>
      </w:r>
      <w:r>
        <w:t xml:space="preserve"> </w:t>
      </w:r>
      <w:r>
        <w:t xml:space="preserve">[8]</w:t>
      </w:r>
      <w:r>
        <w:t xml:space="preserve">.</w:t>
      </w:r>
      <w:r>
        <w:t xml:space="preserve"> </w:t>
      </w:r>
      <w:r>
        <w:t xml:space="preserve">Previous studies on cause-specific excess mortality during COVID-19 have documented important shifts, such as increases in cardiovascular deaths alongside declines in respiratory or dementia mortality, with subtantial heterogeneity across countries</w:t>
      </w:r>
      <w:r>
        <w:t xml:space="preserve"> </w:t>
      </w:r>
      <w:r>
        <w:t xml:space="preserve">[4], [9]–[12]</w:t>
      </w:r>
      <w:r>
        <w:t xml:space="preserve">.</w:t>
      </w:r>
      <w:r>
        <w:t xml:space="preserve"> </w:t>
      </w:r>
      <w:r>
        <w:t xml:space="preserve">Some investigations have also reported temporal or geographic correlations between COVID-19 activity and non-COVID-19 outcomes</w:t>
      </w:r>
      <w:r>
        <w:t xml:space="preserve"> </w:t>
      </w:r>
      <w:r>
        <w:t xml:space="preserve">[9], [10], [13]</w:t>
      </w:r>
      <w:r>
        <w:t xml:space="preserve">.</w:t>
      </w:r>
      <w:r>
        <w:t xml:space="preserve"> </w:t>
      </w:r>
      <w:r>
        <w:t xml:space="preserve">However, most of these works focused on one or a limited set of causes, making interpretation difficult given that mortality processes are inherently interdependent.</w:t>
      </w:r>
      <w:r>
        <w:t xml:space="preserve"> </w:t>
      </w:r>
      <w:r>
        <w:t xml:space="preserve"> </w:t>
      </w:r>
      <w:r>
        <w:t xml:space="preserve">Comprehensive assessments that jointly model multiple causes and explicitly account for cross-cause correlations remain scarce.</w:t>
      </w:r>
      <w:r>
        <w:t xml:space="preserve"> </w:t>
      </w:r>
    </w:p>
    <w:p>
      <w:pPr>
        <w:pStyle w:val="BodyText"/>
      </w:pPr>
      <w:r>
        <w:t xml:space="preserve">Switzerland maintains high-quality mortality statistics through a thorough process of reviewing each death certificate, yielding rich information on underlying, immediate, and concomitant causes suitable for detailed epidemiological analyses</w:t>
      </w:r>
      <w:r>
        <w:t xml:space="preserve"> </w:t>
      </w:r>
      <w:r>
        <w:t xml:space="preserve">[14]</w:t>
      </w:r>
      <w:r>
        <w:t xml:space="preserve">.</w:t>
      </w:r>
      <w:r>
        <w:t xml:space="preserve"> </w:t>
      </w:r>
      <w:r>
        <w:t xml:space="preserve">Leveraging these data, we aim to estimate cause-specific excess mortality in Switzerland from 2011 to 2021, with a particular focus on cross-cause correlations.</w:t>
      </w:r>
      <w:r>
        <w:t xml:space="preserve"> </w:t>
      </w:r>
      <w:r>
        <w:t xml:space="preserve">We implement a Bayesian multivariate model that captures seasonal and long-term trends, accounts for population dynamics, and models correlation across causes through a shared latent random effects structure.</w:t>
      </w:r>
      <w:r>
        <w:t xml:space="preserve"> </w:t>
      </w:r>
      <w:r>
        <w:t xml:space="preserve">By examining both the pre-pandemic synchrony in cause-specific mortality and its disruption during the pandemic, we aim to identify signals of cause-of-death misclassification, mortality displacement, and indirect effects of COVID-19.</w:t>
      </w:r>
      <w:r>
        <w:t xml:space="preserve"> </w:t>
      </w:r>
      <w:r>
        <w:t xml:space="preserve">This approach, by highlighting the interdependence of mortality processes, offers new insight into the mechanisms by which the pandemic and the related control measures have reshaped mortality patterns.</w:t>
      </w:r>
    </w:p>
    <w:p>
      <w:r>
        <w:br w:type="page"/>
      </w:r>
    </w:p>
    <w:bookmarkEnd w:id="22"/>
    <w:bookmarkStart w:id="28" w:name="results"/>
    <w:p>
      <w:pPr>
        <w:pStyle w:val="Heading1"/>
      </w:pPr>
      <w:r>
        <w:rPr>
          <w:rStyle w:val="SectionNumber"/>
        </w:rPr>
        <w:t xml:space="preserve">3</w:t>
      </w:r>
      <w:r>
        <w:tab/>
      </w:r>
      <w:r>
        <w:t xml:space="preserve">Results</w:t>
      </w:r>
    </w:p>
    <w:bookmarkStart w:id="23" w:name="distribution-of-deaths"/>
    <w:p>
      <w:pPr>
        <w:pStyle w:val="Heading2"/>
      </w:pPr>
      <w:r>
        <w:rPr>
          <w:rStyle w:val="SectionNumber"/>
        </w:rPr>
        <w:t xml:space="preserve">3.1</w:t>
      </w:r>
      <w:r>
        <w:tab/>
      </w:r>
      <w:r>
        <w:t xml:space="preserve">Distribution of deaths</w:t>
      </w:r>
    </w:p>
    <w:p>
      <w:pPr>
        <w:pStyle w:val="FirstParagraph"/>
      </w:pPr>
      <w:r>
        <w:t xml:space="preserve">In Switzerland, deaths are heavily concentrated among older adults: 88% occurred in individuals aged 65 and over, while fewer than 2% were among people under 40 in 2020-21 (Fig 1A).</w:t>
      </w:r>
      <w:r>
        <w:t xml:space="preserve"> </w:t>
      </w:r>
      <w:r>
        <w:t xml:space="preserve">Cardiovascular diseases were the leading cause of death overall, followed by cancers and mental or neurological disorders, though the distribution varied by age group (Fig 1B).</w:t>
      </w:r>
      <w:r>
        <w:t xml:space="preserve"> </w:t>
      </w:r>
      <w:r>
        <w:t xml:space="preserve">Among individuals aged 80 and above, cardiovascular disease accounted for 33% of all deaths.</w:t>
      </w:r>
      <w:r>
        <w:t xml:space="preserve"> </w:t>
      </w:r>
      <w:r>
        <w:t xml:space="preserve">In contrast, for those aged 40–79, cancer was the predominant cause, responsible for approximately 40% of deaths.</w:t>
      </w:r>
      <w:r>
        <w:t xml:space="preserve"> </w:t>
      </w:r>
      <w:r>
        <w:t xml:space="preserve">The relative impact of COVID-19 was greatest in older age groups, contributing to 9% of deaths among those aged 65–79 and 12% among those aged 80 and over.</w:t>
      </w:r>
    </w:p>
    <w:bookmarkEnd w:id="23"/>
    <w:bookmarkStart w:id="24" w:name="prepandemic-mortality-trends"/>
    <w:p>
      <w:pPr>
        <w:pStyle w:val="Heading2"/>
      </w:pPr>
      <w:r>
        <w:rPr>
          <w:rStyle w:val="SectionNumber"/>
        </w:rPr>
        <w:t xml:space="preserve">3.2</w:t>
      </w:r>
      <w:r>
        <w:tab/>
      </w:r>
      <w:r>
        <w:t xml:space="preserve">Prepandemic mortality trends</w:t>
      </w:r>
    </w:p>
    <w:p>
      <w:pPr>
        <w:pStyle w:val="FirstParagraph"/>
      </w:pPr>
      <w:r>
        <w:t xml:space="preserve">The model captures the seasonal and long-term trends in cause-specific mortality between 2011 and 2019 (Fig 2A for individuals aged 80+, and Fig S1–S4 for other age groups), while rare episodes of excess mortality are identified, such as in the winters of 2014/15 and 2016/17.</w:t>
      </w:r>
      <w:r>
        <w:t xml:space="preserve"> </w:t>
      </w:r>
      <w:r>
        <w:t xml:space="preserve">We observe similarities in mortality trends across six different groups of causes, both in the seasonal patterns and in intermittent episodes of excess mortality that often occur synchronously.</w:t>
      </w:r>
      <w:r>
        <w:t xml:space="preserve"> </w:t>
      </w:r>
      <w:r>
        <w:t xml:space="preserve">For the 80+ age group, Fig 2C highlights this synchrony in timing, showing that the expected mean mortality peak (in black) occurs consistently across causes between January and February.</w:t>
      </w:r>
      <w:r>
        <w:t xml:space="preserve"> </w:t>
      </w:r>
      <w:r>
        <w:t xml:space="preserve">During the pre-pandemic period (2011–2019), observed peak timings align closely with these expectations.</w:t>
      </w:r>
      <w:r>
        <w:t xml:space="preserve"> </w:t>
      </w:r>
      <w:r>
        <w:t xml:space="preserve">However, during the pandemic years, we observe a marked shift: mortality peaks occur earlier than expected.</w:t>
      </w:r>
      <w:r>
        <w:t xml:space="preserve"> </w:t>
      </w:r>
      <w:r>
        <w:t xml:space="preserve">In addition, the model reveals strong positive correlations in cause-specific excess mortality, mostly among individuals aged 80 and over (Fig 2B).</w:t>
      </w:r>
      <w:r>
        <w:t xml:space="preserve"> </w:t>
      </w:r>
      <w:r>
        <w:t xml:space="preserve">Specifically, excess deaths from respiratory diseases, mental or neurological disorders, and cardiovascular diseases are highly correlated, with pairwise correlations exceeding 0.8.</w:t>
      </w:r>
    </w:p>
    <w:bookmarkEnd w:id="24"/>
    <w:bookmarkStart w:id="25" w:name="covid-19-mortality"/>
    <w:p>
      <w:pPr>
        <w:pStyle w:val="Heading2"/>
      </w:pPr>
      <w:r>
        <w:rPr>
          <w:rStyle w:val="SectionNumber"/>
        </w:rPr>
        <w:t xml:space="preserve">3.3</w:t>
      </w:r>
      <w:r>
        <w:tab/>
      </w:r>
      <w:r>
        <w:t xml:space="preserve">COVID-19 mortality</w:t>
      </w:r>
    </w:p>
    <w:p>
      <w:pPr>
        <w:pStyle w:val="FirstParagraph"/>
      </w:pPr>
      <w:r>
        <w:t xml:space="preserve">The model also captures all-cause mortality between 2011 and 2019, obtained by aggregating the expected cause-specific mortality.</w:t>
      </w:r>
      <w:r>
        <w:t xml:space="preserve"> </w:t>
      </w:r>
      <w:r>
        <w:t xml:space="preserve">Among individuals aged 65 and over, the impact of the first two COVID-19 waves—-spring 2020 and fall/winter 2020–21—-clearly exceeded any episodes of excess mortality observed between 2011 and 2019 (Fig 3A).</w:t>
      </w:r>
      <w:r>
        <w:t xml:space="preserve"> </w:t>
      </w:r>
      <w:r>
        <w:t xml:space="preserve">Cumulative excess mortality highlights the substantial increase in deaths during these waves, followed by a gradual mortality deficit in the subsequent weeks (Fig 3B).</w:t>
      </w:r>
      <w:r>
        <w:t xml:space="preserve"> </w:t>
      </w:r>
      <w:r>
        <w:t xml:space="preserve">When excluding deaths attributed to COVID-19, we also observe that mortality from other causes was lower than expected in 2020–21 for people aged 65 and over.</w:t>
      </w:r>
    </w:p>
    <w:bookmarkEnd w:id="25"/>
    <w:bookmarkStart w:id="26" w:name="X2d11acc4875a576e3781fb4a2d0c06e2991d12c"/>
    <w:p>
      <w:pPr>
        <w:pStyle w:val="Heading2"/>
      </w:pPr>
      <w:r>
        <w:rPr>
          <w:rStyle w:val="SectionNumber"/>
        </w:rPr>
        <w:t xml:space="preserve">3.4</w:t>
      </w:r>
      <w:r>
        <w:tab/>
      </w:r>
      <w:r>
        <w:t xml:space="preserve">Cause-specific excess mortality in 2020-21</w:t>
      </w:r>
    </w:p>
    <w:p>
      <w:pPr>
        <w:pStyle w:val="FirstParagraph"/>
      </w:pPr>
      <w:r>
        <w:t xml:space="preserve">Among individuals aged below 64, almost all cumulative mortalities remained within expected levels over 2020–21, suggesting no evidence of excess mortality (Fig 4A&amp;B and Fig S5-S9).</w:t>
      </w:r>
      <w:r>
        <w:t xml:space="preserve"> </w:t>
      </w:r>
      <w:r>
        <w:t xml:space="preserve">A slight excess in suicides was observed among 0-17 over 2020-21 (16 [2-28], +54%), but the small number of observed deaths (43) limits interpretation (Fig S5).</w:t>
      </w:r>
      <w:r>
        <w:t xml:space="preserve"> </w:t>
      </w:r>
      <w:r>
        <w:t xml:space="preserve">In contrast, among individuals aged 65–79, a deficit in deaths due to cancers and mental or neurological disorders was observed in 2020–21, with approximately 5% fewer deaths than expected (Fig 4C).</w:t>
      </w:r>
      <w:r>
        <w:t xml:space="preserve"> </w:t>
      </w:r>
      <w:r>
        <w:t xml:space="preserve">The largest decrease occurred during the Alpha wave in January–February 2021.</w:t>
      </w:r>
      <w:r>
        <w:t xml:space="preserve"> </w:t>
      </w:r>
      <w:r>
        <w:t xml:space="preserve">Mortality due to cardiovascular diseases in this group remained within the expected range, although a localized excess was noted during the autumn 2020 wave (+14%).</w:t>
      </w:r>
    </w:p>
    <w:p>
      <w:pPr>
        <w:pStyle w:val="BodyText"/>
      </w:pPr>
      <w:r>
        <w:t xml:space="preserve">Similar patterns were seen in the 80+ age group (Fig 4D).</w:t>
      </w:r>
      <w:r>
        <w:t xml:space="preserve"> </w:t>
      </w:r>
      <w:r>
        <w:t xml:space="preserve">A marked decrease in mortality from mental and neurological disorders was observed in 2020–21 (−12%), with levels below expectation in all phases except the autumn 2020 wave, when a slight increase occurred.</w:t>
      </w:r>
      <w:r>
        <w:t xml:space="preserve"> </w:t>
      </w:r>
      <w:r>
        <w:t xml:space="preserve">The most pronounced decrease was during the Alpha wave (−24%).</w:t>
      </w:r>
      <w:r>
        <w:t xml:space="preserve"> </w:t>
      </w:r>
      <w:r>
        <w:t xml:space="preserve">For cancer, the mortality deficit was also concentrated almost entirely during the Alpha wave.</w:t>
      </w:r>
      <w:r>
        <w:t xml:space="preserve"> </w:t>
      </w:r>
      <w:r>
        <w:t xml:space="preserve">Cumulative mortality due to cardiovascular diseases among the 80+ was within expected levels overall, but showed substantial variation across phases.</w:t>
      </w:r>
      <w:r>
        <w:t xml:space="preserve"> </w:t>
      </w:r>
      <w:r>
        <w:t xml:space="preserve">Excess mortality was concentrated during COVID-19 waves, while mortality deficits were more common at the beginning of both 2020 and 2021.</w:t>
      </w:r>
      <w:r>
        <w:t xml:space="preserve"> </w:t>
      </w:r>
      <w:r>
        <w:t xml:space="preserve">Finally, we observed a consistent deficit in deaths due to respiratory diseases (excluding COVID-19) across all age groups, with the magnitude of the deficit increasing with age.</w:t>
      </w:r>
      <w:r>
        <w:t xml:space="preserve"> </w:t>
      </w:r>
      <w:r>
        <w:t xml:space="preserve">Fig S5-S9 display cause-specific excess mortality estimates by phases for all causes and all age groups.</w:t>
      </w:r>
    </w:p>
    <w:p>
      <w:pPr>
        <w:pStyle w:val="BodyText"/>
      </w:pPr>
      <w:r>
        <w:t xml:space="preserve">To better understand the apparent decrease in cancer-related excess mortality in January–February 2021, we examined deaths among individuals aged 65 and over with a cancer diagnosis in 2020–21.</w:t>
      </w:r>
      <w:r>
        <w:t xml:space="preserve"> </w:t>
      </w:r>
      <w:r>
        <w:t xml:space="preserve">Unlike analyses based solely on the underlying cause of death, this approach also included individuals with cancer who died from other causes.</w:t>
      </w:r>
      <w:r>
        <w:t xml:space="preserve"> </w:t>
      </w:r>
      <w:r>
        <w:t xml:space="preserve">In contrast to deaths</w:t>
      </w:r>
      <w:r>
        <w:t xml:space="preserve"> </w:t>
      </w:r>
      <w:r>
        <w:rPr>
          <w:i/>
          <w:iCs/>
        </w:rPr>
        <w:t xml:space="preserve">from</w:t>
      </w:r>
      <w:r>
        <w:t xml:space="preserve"> </w:t>
      </w:r>
      <w:r>
        <w:t xml:space="preserve">cancer (pink), the total number of deaths with cancer (black) did not decline during January–February 2021 and even increased slightly in the 65–79 age group and more markedly in those aged 80 and over (Fig S10A).</w:t>
      </w:r>
      <w:r>
        <w:t xml:space="preserve"> </w:t>
      </w:r>
      <w:r>
        <w:t xml:space="preserve">When stratifying deaths with cancer by survival category, we observed that cancers with high survival exhibited the largest increase during this period, particularly among individuals aged 80 and over (Fig S10B).</w:t>
      </w:r>
      <w:r>
        <w:t xml:space="preserve"> </w:t>
      </w:r>
      <w:r>
        <w:t xml:space="preserve"> </w:t>
      </w:r>
    </w:p>
    <w:bookmarkEnd w:id="26"/>
    <w:bookmarkStart w:id="27" w:name="Xd537387f716daf71b655cf5953dad128feb954d"/>
    <w:p>
      <w:pPr>
        <w:pStyle w:val="Heading2"/>
      </w:pPr>
      <w:r>
        <w:rPr>
          <w:rStyle w:val="SectionNumber"/>
        </w:rPr>
        <w:t xml:space="preserve">3.5</w:t>
      </w:r>
      <w:r>
        <w:tab/>
      </w:r>
      <w:r>
        <w:t xml:space="preserve">Correlation with respiratory diseases in 2020-21</w:t>
      </w:r>
    </w:p>
    <w:p>
      <w:pPr>
        <w:pStyle w:val="FirstParagraph"/>
      </w:pPr>
      <w:r>
        <w:t xml:space="preserve">We examined the temporal correlation between excess mortality from specific causes and excess mortality due to either COVID-19 or other respiratory diseases during 2020–21.</w:t>
      </w:r>
      <w:r>
        <w:t xml:space="preserve"> </w:t>
      </w:r>
      <w:r>
        <w:t xml:space="preserve">For cardiovascular and mental/neurological diseases, we observed positive partial correlations with COVID-19 mortality, reaching nearly 0.5 among individuals aged 80 and over (Fig 5 and Fig S11).</w:t>
      </w:r>
      <w:r>
        <w:t xml:space="preserve"> </w:t>
      </w:r>
      <w:r>
        <w:t xml:space="preserve">Similar correlations were also found with other respiratory diseases, reflecting the high correlations inferred by the model for the prepandemic period 2011-2019.</w:t>
      </w:r>
      <w:r>
        <w:t xml:space="preserve"> </w:t>
      </w:r>
      <w:r>
        <w:t xml:space="preserve">The strongest correlations with COVID-19 were seen at lags of 1 to 3 weeks, meaning that COVID-19-related excess deaths happened slightly after those from cardiovascular or mental/neurological causes.</w:t>
      </w:r>
      <w:r>
        <w:t xml:space="preserve"> </w:t>
      </w:r>
      <w:r>
        <w:t xml:space="preserve">In contrast, we observed negative correlations between cancer and COVID-19 mortality, particularly among those aged 65–79.</w:t>
      </w:r>
    </w:p>
    <w:p>
      <w:r>
        <w:br w:type="page"/>
      </w:r>
    </w:p>
    <w:bookmarkEnd w:id="27"/>
    <w:bookmarkEnd w:id="28"/>
    <w:bookmarkStart w:id="34" w:name="discussion"/>
    <w:p>
      <w:pPr>
        <w:pStyle w:val="Heading1"/>
      </w:pPr>
      <w:r>
        <w:rPr>
          <w:rStyle w:val="SectionNumber"/>
        </w:rPr>
        <w:t xml:space="preserve">4</w:t>
      </w:r>
      <w:r>
        <w:tab/>
      </w:r>
      <w:r>
        <w:t xml:space="preserve">Discussion</w:t>
      </w:r>
    </w:p>
    <w:bookmarkStart w:id="29" w:name="summary"/>
    <w:p>
      <w:pPr>
        <w:pStyle w:val="Heading2"/>
      </w:pPr>
      <w:r>
        <w:rPr>
          <w:rStyle w:val="SectionNumber"/>
        </w:rPr>
        <w:t xml:space="preserve">4.1</w:t>
      </w:r>
      <w:r>
        <w:tab/>
      </w:r>
      <w:r>
        <w:t xml:space="preserve">Summary</w:t>
      </w:r>
    </w:p>
    <w:p>
      <w:pPr>
        <w:pStyle w:val="FirstParagraph"/>
      </w:pPr>
      <w:r>
        <w:t xml:space="preserve">We modelled cause-specific mortality trends in Switzerland from 2011 to 2019 to assess excess mortality during the COVID-19 pandemic in 2020–2021.</w:t>
      </w:r>
      <w:r>
        <w:t xml:space="preserve"> </w:t>
      </w:r>
      <w:r>
        <w:t xml:space="preserve">Compared with the prepandemic baseline, we identified several disruptions in mortality patterns.</w:t>
      </w:r>
      <w:r>
        <w:t xml:space="preserve"> </w:t>
      </w:r>
      <w:r>
        <w:t xml:space="preserve">Cardiovascular deaths rose temporarily during COVID-19 waves, especially among people aged 65 years and older.</w:t>
      </w:r>
      <w:r>
        <w:t xml:space="preserve"> </w:t>
      </w:r>
      <w:r>
        <w:t xml:space="preserve">By contrast, respiratory-disease mortality declined consistently throughout the pandemic.</w:t>
      </w:r>
      <w:r>
        <w:t xml:space="preserve"> </w:t>
      </w:r>
      <w:r>
        <w:t xml:space="preserve">Among older adults, deaths attributed to mental/neurological diseases and to cancer fell below expectation in 2021.</w:t>
      </w:r>
      <w:r>
        <w:t xml:space="preserve"> </w:t>
      </w:r>
      <w:r>
        <w:t xml:space="preserve">These deficits were more than offset by COVID-19 deaths, resulting in overall all-cause excess mortality.</w:t>
      </w:r>
      <w:r>
        <w:t xml:space="preserve"> </w:t>
      </w:r>
      <w:r>
        <w:t xml:space="preserve">These shifts likely reflect a combination of mechanisms, including mortality displacement, competing risks, and reduced circulation of other pathogens due to public-health measures.</w:t>
      </w:r>
      <w:r>
        <w:t xml:space="preserve"> </w:t>
      </w:r>
    </w:p>
    <w:bookmarkEnd w:id="29"/>
    <w:bookmarkStart w:id="30" w:name="Xacf3f3f9a295da438b4923d264beecd65af4f57"/>
    <w:p>
      <w:pPr>
        <w:pStyle w:val="Heading2"/>
      </w:pPr>
      <w:r>
        <w:rPr>
          <w:rStyle w:val="SectionNumber"/>
        </w:rPr>
        <w:t xml:space="preserve">4.2</w:t>
      </w:r>
      <w:r>
        <w:tab/>
      </w:r>
      <w:r>
        <w:t xml:space="preserve">Potential explanations for the observed patterns: 4 types of disruption</w:t>
      </w:r>
    </w:p>
    <w:p>
      <w:pPr>
        <w:pStyle w:val="FirstParagraph"/>
      </w:pPr>
      <w:r>
        <w:t xml:space="preserve">Four broad disruptions could explain the observed patterns.</w:t>
      </w:r>
      <w:r>
        <w:t xml:space="preserve"> </w:t>
      </w:r>
      <w:r>
        <w:t xml:space="preserve">First, under-ascertainment of COVID-19 deaths inflated the counts attributed to other causes.</w:t>
      </w:r>
      <w:r>
        <w:t xml:space="preserve"> </w:t>
      </w:r>
      <w:r>
        <w:t xml:space="preserve">Modelling work suggests that only 72% of COVID-19 deaths were identified as such in Switzerland during 2020-21, with even lower proportions in epidemic peaks</w:t>
      </w:r>
      <w:r>
        <w:t xml:space="preserve"> </w:t>
      </w:r>
      <w:r>
        <w:t xml:space="preserve">[6]</w:t>
      </w:r>
      <w:r>
        <w:t xml:space="preserve">.</w:t>
      </w:r>
      <w:r>
        <w:t xml:space="preserve"> </w:t>
      </w:r>
      <w:r>
        <w:t xml:space="preserve">Because infection with SARS-CoV-2 can trigger cardiovascular complications, through inflammation, thrombosis, and direct cardiac injury, deaths with COVID-19 as an unrecognized concomitant cause likely contributed to the cardiovascular excesses seen in autumn 2020 and autumn 2021.</w:t>
      </w:r>
      <w:r>
        <w:t xml:space="preserve"> </w:t>
      </w:r>
      <w:r>
        <w:t xml:space="preserve">This is further supported by the high positive correlations between COVID-19 and cardiovascular excesses.</w:t>
      </w:r>
      <w:r>
        <w:t xml:space="preserve"> </w:t>
      </w:r>
    </w:p>
    <w:p>
      <w:pPr>
        <w:pStyle w:val="BodyText"/>
      </w:pPr>
      <w:r>
        <w:t xml:space="preserve">Second, sequelae of SARS-CoV-2 infection may increase other cause-specific mortality.</w:t>
      </w:r>
      <w:r>
        <w:t xml:space="preserve"> </w:t>
      </w:r>
      <w:r>
        <w:t xml:space="preserve">Cohort studies have documented a higher individual risk of delayed complications—particularly cardiovascular events—months after infection</w:t>
      </w:r>
      <w:r>
        <w:t xml:space="preserve"> </w:t>
      </w:r>
      <w:r>
        <w:t xml:space="preserve">[15], [16]</w:t>
      </w:r>
      <w:r>
        <w:t xml:space="preserve">.</w:t>
      </w:r>
      <w:r>
        <w:t xml:space="preserve"> </w:t>
      </w:r>
      <w:r>
        <w:t xml:space="preserve">Population-level analyses show that these delayed effects contributed to sustained excess cardiovascular mortality in 2021 in countries such as the United States</w:t>
      </w:r>
      <w:r>
        <w:t xml:space="preserve"> </w:t>
      </w:r>
      <w:r>
        <w:t xml:space="preserve">[4]</w:t>
      </w:r>
      <w:r>
        <w:t xml:space="preserve"> </w:t>
      </w:r>
      <w:r>
        <w:t xml:space="preserve">and the United Kingdom</w:t>
      </w:r>
      <w:r>
        <w:t xml:space="preserve"> </w:t>
      </w:r>
      <w:r>
        <w:t xml:space="preserve">[17]</w:t>
      </w:r>
      <w:r>
        <w:t xml:space="preserve">.</w:t>
      </w:r>
      <w:r>
        <w:t xml:space="preserve"> </w:t>
      </w:r>
      <w:r>
        <w:t xml:space="preserve">Such effects are difficult to detect in the relatively healthy Swiss population and may overlap with other disruptions—such as misclassified COVID-19 deaths or mortality displacement—complicating interpretations.</w:t>
      </w:r>
    </w:p>
    <w:p>
      <w:pPr>
        <w:pStyle w:val="BodyText"/>
      </w:pPr>
      <w:r>
        <w:t xml:space="preserve">Third, mortality displacement, i.e., when deaths occur earlier than they would have in the absence of the COVID-19 pandemic, partly explains the deficit in mortality observed during the first part of 2021.</w:t>
      </w:r>
      <w:r>
        <w:t xml:space="preserve"> </w:t>
      </w:r>
      <w:r>
        <w:t xml:space="preserve">The clearest signal appears in mental and neurological disorders: among people aged 65 and over, deaths remained below baseline for several weeks after the autumn 2020 and winter 2020-21 COVID-19 waves.</w:t>
      </w:r>
      <w:r>
        <w:t xml:space="preserve"> </w:t>
      </w:r>
      <w:r>
        <w:t xml:space="preserve">Nordic countries have seen a similar</w:t>
      </w:r>
      <w:r>
        <w:t xml:space="preserve"> </w:t>
      </w:r>
      <w:r>
        <w:t xml:space="preserve">“harvesting”</w:t>
      </w:r>
      <w:r>
        <w:t xml:space="preserve"> </w:t>
      </w:r>
      <w:r>
        <w:t xml:space="preserve">pattern: some individuals with dementia died during COVID-19 waves rather than later, leaving fewer dementia deaths afterward</w:t>
      </w:r>
      <w:r>
        <w:t xml:space="preserve"> </w:t>
      </w:r>
      <w:r>
        <w:t xml:space="preserve">[12]</w:t>
      </w:r>
      <w:r>
        <w:t xml:space="preserve">.</w:t>
      </w:r>
      <w:r>
        <w:t xml:space="preserve"> </w:t>
      </w:r>
      <w:r>
        <w:t xml:space="preserve">While displacement can persist for months in slowly progressing disorders such as dementia, its impact may appear almost immediately when remaining life expectancy is short, as in advanced cancers.</w:t>
      </w:r>
      <w:r>
        <w:t xml:space="preserve"> </w:t>
      </w:r>
      <w:r>
        <w:t xml:space="preserve">Using multiple cause death data, we found that the observed decline in cancer deaths at the end of 2020 was offset by an increase in cancer patients dying from other causes, mainly COVID-19, suggesting displacement from cancer to COVID-19 due to competing risks.</w:t>
      </w:r>
      <w:r>
        <w:t xml:space="preserve"> </w:t>
      </w:r>
      <w:r>
        <w:t xml:space="preserve">This interpretation was supported by the analysis stratifying cancers by survival risk, which showed lower increase in mortality among individuals with low-survival cancers, where the risks of dying from cancer or COVID-19 directly compete.</w:t>
      </w:r>
      <w:r>
        <w:t xml:space="preserve"> </w:t>
      </w:r>
      <w:r>
        <w:t xml:space="preserve">Such results have also been reproduced theoretically through simulation-based modelling work</w:t>
      </w:r>
      <w:r>
        <w:t xml:space="preserve"> </w:t>
      </w:r>
      <w:r>
        <w:t xml:space="preserve">[18]</w:t>
      </w:r>
      <w:r>
        <w:t xml:space="preserve">.</w:t>
      </w:r>
      <w:r>
        <w:t xml:space="preserve"> </w:t>
      </w:r>
      <w:r>
        <w:t xml:space="preserve">Finally, the observed negative correlation between cancer-related excess mortality and COVID-19 deaths, which was also reported spatially across US states, further supports this interpretation</w:t>
      </w:r>
      <w:r>
        <w:t xml:space="preserve"> </w:t>
      </w:r>
      <w:r>
        <w:t xml:space="preserve">[13]</w:t>
      </w:r>
      <w:r>
        <w:t xml:space="preserve">.</w:t>
      </w:r>
    </w:p>
    <w:p>
      <w:pPr>
        <w:pStyle w:val="BodyText"/>
      </w:pPr>
      <w:r>
        <w:t xml:space="preserve">Finally, pandemic response—both mandated restrictions and voluntary behavior changes— affected mortality in various ways.</w:t>
      </w:r>
      <w:r>
        <w:t xml:space="preserve"> </w:t>
      </w:r>
      <w:r>
        <w:t xml:space="preserve">Non-pharmaceutical interventions (NPIs) have reduced the circulation of common respiratory pathogens such as influenza, leading to a marked decrease in mortality caused by respiratory diseases in January-February 2021, a period that normally sees peak winter infections.</w:t>
      </w:r>
      <w:r>
        <w:t xml:space="preserve"> </w:t>
      </w:r>
      <w:r>
        <w:t xml:space="preserve">Because respiratory infections can precipitate deaths from other conditions, their absence likely also reduced mortality from causes that depend on them, especially in adults aged 80 and over.</w:t>
      </w:r>
      <w:r>
        <w:t xml:space="preserve"> </w:t>
      </w:r>
      <w:r>
        <w:t xml:space="preserve">This mechanism may account for the mental- and neurological-disease-related death-deficits observed in early 2021 among the 65–79 and 80 + age groups.</w:t>
      </w:r>
      <w:r>
        <w:t xml:space="preserve"> </w:t>
      </w:r>
      <w:r>
        <w:t xml:space="preserve">On the other hand, the implementation of NPIs has been also used to explain the slight decrease in mortality attributed to cancer during the COVID-19 due to delays in diagnosis observed in the UK</w:t>
      </w:r>
      <w:r>
        <w:t xml:space="preserve"> </w:t>
      </w:r>
      <w:r>
        <w:t xml:space="preserve">[3]</w:t>
      </w:r>
      <w:r>
        <w:t xml:space="preserve">.</w:t>
      </w:r>
      <w:r>
        <w:t xml:space="preserve"> </w:t>
      </w:r>
      <w:r>
        <w:t xml:space="preserve">However, this effect is unlikely in Switzerland, where oncology care remained accessible and control measures remained comparatively less stringent</w:t>
      </w:r>
      <w:r>
        <w:t xml:space="preserve"> </w:t>
      </w:r>
      <w:r>
        <w:t xml:space="preserve">[19]</w:t>
      </w:r>
      <w:r>
        <w:t xml:space="preserve">.</w:t>
      </w:r>
      <w:r>
        <w:t xml:space="preserve"> </w:t>
      </w:r>
    </w:p>
    <w:bookmarkEnd w:id="30"/>
    <w:bookmarkStart w:id="31" w:name="cross-cause-correlation"/>
    <w:p>
      <w:pPr>
        <w:pStyle w:val="Heading2"/>
      </w:pPr>
      <w:r>
        <w:rPr>
          <w:rStyle w:val="SectionNumber"/>
        </w:rPr>
        <w:t xml:space="preserve">4.3</w:t>
      </w:r>
      <w:r>
        <w:tab/>
      </w:r>
      <w:r>
        <w:t xml:space="preserve">Cross-cause correlation</w:t>
      </w:r>
    </w:p>
    <w:p>
      <w:pPr>
        <w:pStyle w:val="FirstParagraph"/>
      </w:pPr>
      <w:r>
        <w:t xml:space="preserve">Our multivariate model reveals two layers of pre-2020 cause-specific mortality correlation: first, most causes share a winter peak across age groups; second, even after removing this seasonal component, excess deaths from respiratory, cardiovascular, and mental-neurological diseases remain tightly coupled.</w:t>
      </w:r>
      <w:r>
        <w:t xml:space="preserve"> </w:t>
      </w:r>
      <w:r>
        <w:t xml:space="preserve">The correlation is highest in winters with the largest influenza epidemics, implying that a substantial share of the apparent cardiovascular excess is infection-related (either through biologically triggered events or misclassification)</w:t>
      </w:r>
      <w:r>
        <w:t xml:space="preserve"> </w:t>
      </w:r>
      <w:r>
        <w:t xml:space="preserve">[20], [21]</w:t>
      </w:r>
      <w:r>
        <w:t xml:space="preserve">.</w:t>
      </w:r>
      <w:r>
        <w:t xml:space="preserve"> </w:t>
      </w:r>
      <w:r>
        <w:t xml:space="preserve">While extreme weather or pollution could still contribute, previous studies have suggested that they only explain a minor fraction of the observed excess mortality</w:t>
      </w:r>
      <w:r>
        <w:t xml:space="preserve"> </w:t>
      </w:r>
      <w:r>
        <w:t xml:space="preserve">[23]</w:t>
      </w:r>
      <w:r>
        <w:t xml:space="preserve">.</w:t>
      </w:r>
      <w:r>
        <w:t xml:space="preserve"> </w:t>
      </w:r>
      <w:r>
        <w:t xml:space="preserve">Evidence from 2020-21 reinforces this assumption, as excess cardiovascular and mental/neurological deaths correlate with both COVID-19 and non-COVID-19 respiratory excesses during a period when mortality patterns were disrupted.</w:t>
      </w:r>
      <w:r>
        <w:t xml:space="preserve"> </w:t>
      </w:r>
      <w:r>
        <w:t xml:space="preserve">In this context, the COVID-19 disruption served as a natural experiment, as COVID-19 waves occurred at unusual periods for a respiratory disease and flu waves were almost non-existent in winter 2020-21.</w:t>
      </w:r>
      <w:r>
        <w:t xml:space="preserve"> </w:t>
      </w:r>
      <w:r>
        <w:t xml:space="preserve">While the exact mechanisms need to be investigated in more depth, this suggests that the contribution of respiratory pathogens on overall mortality has been underestimated.</w:t>
      </w:r>
    </w:p>
    <w:bookmarkEnd w:id="31"/>
    <w:bookmarkStart w:id="32" w:name="strengths-limitations-and-perspectives"/>
    <w:p>
      <w:pPr>
        <w:pStyle w:val="Heading2"/>
      </w:pPr>
      <w:r>
        <w:rPr>
          <w:rStyle w:val="SectionNumber"/>
        </w:rPr>
        <w:t xml:space="preserve">4.4</w:t>
      </w:r>
      <w:r>
        <w:tab/>
      </w:r>
      <w:r>
        <w:t xml:space="preserve">Strengths, limitations and perspectives</w:t>
      </w:r>
    </w:p>
    <w:p>
      <w:pPr>
        <w:pStyle w:val="FirstParagraph"/>
      </w:pPr>
      <w:r>
        <w:t xml:space="preserve">The study has several strengths.</w:t>
      </w:r>
      <w:r>
        <w:t xml:space="preserve"> </w:t>
      </w:r>
      <w:r>
        <w:t xml:space="preserve">We studied the COVID-19 disruption, which temporarily decoupled normally synchronized causes of death, to examine how they are linked.</w:t>
      </w:r>
      <w:r>
        <w:t xml:space="preserve"> </w:t>
      </w:r>
      <w:r>
        <w:t xml:space="preserve">We built a multi-dimensional Bayesian model that captures population change, long-term trends, seasonal patterns, and cross-cause correlation.</w:t>
      </w:r>
      <w:r>
        <w:t xml:space="preserve"> </w:t>
      </w:r>
      <w:r>
        <w:t xml:space="preserve">Gaussian processes give this model more flexibility than generalized linear models with splines or seasonal ARIMA, resulting in sharper estimates and more realistic uncertainty</w:t>
      </w:r>
      <w:r>
        <w:t xml:space="preserve"> </w:t>
      </w:r>
      <w:r>
        <w:t xml:space="preserve">[4], [9]–[12], [24]</w:t>
      </w:r>
      <w:r>
        <w:t xml:space="preserve">.</w:t>
      </w:r>
      <w:r>
        <w:t xml:space="preserve"> </w:t>
      </w:r>
      <w:r>
        <w:t xml:space="preserve">Other approaches that have formally modeled cross-cause correlation, used tensors or multi-cause Gaussian processes, but their complexity often prevents a clear understanding of how cause-specific mortalities are related</w:t>
      </w:r>
      <w:r>
        <w:t xml:space="preserve"> </w:t>
      </w:r>
      <w:r>
        <w:t xml:space="preserve">[8], [25]</w:t>
      </w:r>
      <w:r>
        <w:t xml:space="preserve">.</w:t>
      </w:r>
      <w:r>
        <w:t xml:space="preserve"> </w:t>
      </w:r>
      <w:r>
        <w:t xml:space="preserve">Our Bayesian framework explicitly propagates uncertainty, a critical feature when excess-mortality estimates depend on counterfactual predictions.</w:t>
      </w:r>
      <w:r>
        <w:t xml:space="preserve"> </w:t>
      </w:r>
      <w:r>
        <w:t xml:space="preserve">The analysis also benefits from Switzerland’s high-quality death-certificate data, which follow consistent coding guidelines and achieve near-complete coverage.</w:t>
      </w:r>
      <w:r>
        <w:t xml:space="preserve"> </w:t>
      </w:r>
      <w:r>
        <w:t xml:space="preserve">Weekly aggregation preserves high temporal granularity and allowed us to detect fine-scale synchrony between causes.</w:t>
      </w:r>
    </w:p>
    <w:p>
      <w:pPr>
        <w:pStyle w:val="BodyText"/>
      </w:pPr>
      <w:r>
        <w:t xml:space="preserve">The study also has limitations.</w:t>
      </w:r>
      <w:r>
        <w:t xml:space="preserve"> </w:t>
      </w:r>
      <w:r>
        <w:t xml:space="preserve">First, most analyses rely solely on the unique underlying cause of death, which may overlook mechanisms such as mortality displacement or competing risks.</w:t>
      </w:r>
      <w:r>
        <w:t xml:space="preserve"> </w:t>
      </w:r>
      <w:r>
        <w:t xml:space="preserve">The additional analysis focusing on cancer illustrates both this limitation and how incorporating multiple cause death data can provide a more complete picture of mortality dynamics.</w:t>
      </w:r>
      <w:r>
        <w:t xml:space="preserve"> </w:t>
      </w:r>
      <w:r>
        <w:t xml:space="preserve">Models explicitly representing these mechanisms can be combined to achieve a more rigorous and integrated quantification of mortality displacement across time and causes.</w:t>
      </w:r>
      <w:r>
        <w:t xml:space="preserve"> </w:t>
      </w:r>
      <w:r>
        <w:t xml:space="preserve">Frailty-survival models capture temporal displacement by accounting for unobserved heterogeneity, while competing-risk models capture cross-cause displacement by redistributing deaths among alternatives</w:t>
      </w:r>
      <w:r>
        <w:t xml:space="preserve"> </w:t>
      </w:r>
      <w:r>
        <w:t xml:space="preserve">[5], [26]</w:t>
      </w:r>
      <w:r>
        <w:t xml:space="preserve">.</w:t>
      </w:r>
      <w:r>
        <w:t xml:space="preserve"> </w:t>
      </w:r>
      <w:r>
        <w:t xml:space="preserve">Misclassification, however, may persist even with richer cause-of-death information.</w:t>
      </w:r>
      <w:r>
        <w:t xml:space="preserve"> </w:t>
      </w:r>
      <w:r>
        <w:t xml:space="preserve">Second, some model assumptions, such as the static effects across sex, region, and broad age ranges may oversimplify reality.</w:t>
      </w:r>
      <w:r>
        <w:t xml:space="preserve"> </w:t>
      </w:r>
      <w:r>
        <w:t xml:space="preserve">It also applies to the estimation of excess mortality in the other causes category, which, by definition, comprises a highly heterogeneous set of conditions.</w:t>
      </w:r>
      <w:r>
        <w:t xml:space="preserve"> </w:t>
      </w:r>
      <w:r>
        <w:t xml:space="preserve">For this reason, we did not present or interpret these results, and the magnitude of the corresponding all-cause excess mortality estimates (Fig. 3) should be interpreted with caution.</w:t>
      </w:r>
      <w:r>
        <w:t xml:space="preserve"> </w:t>
      </w:r>
      <w:r>
        <w:t xml:space="preserve">Third, reliance on aggregated data raises the risk of ecological bias: correlations seen at the population level, e.g., between COVID-19 and cardiovascular mortality, do not imply causation for individual cases.</w:t>
      </w:r>
      <w:r>
        <w:t xml:space="preserve"> </w:t>
      </w:r>
      <w:r>
        <w:t xml:space="preserve">Finally, the dataset ends in 2021, limiting our ability to assess the long-term effects of COVID-19 on cause-specific mortality.</w:t>
      </w:r>
    </w:p>
    <w:p>
      <w:pPr>
        <w:pStyle w:val="BodyText"/>
      </w:pPr>
      <w:r>
        <w:t xml:space="preserve">In the future, cause-specific mortality data could serve different purposes.</w:t>
      </w:r>
      <w:r>
        <w:t xml:space="preserve"> </w:t>
      </w:r>
      <w:r>
        <w:t xml:space="preserve">First, it shows how disruption in one cause—such as a respiratory virus epidemic—can cascade into shifts in other mortality patterns, revealing hidden dependencies.</w:t>
      </w:r>
      <w:r>
        <w:t xml:space="preserve"> </w:t>
      </w:r>
      <w:r>
        <w:t xml:space="preserve">Second, incorporating these dependencies to predict all-cause mortality might improve accuracy.</w:t>
      </w:r>
      <w:r>
        <w:t xml:space="preserve"> </w:t>
      </w:r>
      <w:r>
        <w:t xml:space="preserve">Third, such data could be used to explain the divergences in excess mortality patterns observed between countries during the COVID-19 pandemic.</w:t>
      </w:r>
      <w:r>
        <w:t xml:space="preserve"> </w:t>
      </w:r>
      <w:r>
        <w:t xml:space="preserve">More immediately, several extensions are feasible.</w:t>
      </w:r>
      <w:r>
        <w:t xml:space="preserve"> </w:t>
      </w:r>
      <w:r>
        <w:t xml:space="preserve">We could apply the same framework to other countries to test whether the correlation patterns we observed in Switzerland are generalisable.</w:t>
      </w:r>
      <w:r>
        <w:t xml:space="preserve"> </w:t>
      </w:r>
      <w:r>
        <w:t xml:space="preserve">Further, stratifying the analysis by socio-economic status would allow us to characterize the mortality burden across different levels of vulnerability.</w:t>
      </w:r>
      <w:r>
        <w:t xml:space="preserve"> </w:t>
      </w:r>
      <w:r>
        <w:t xml:space="preserve">Finally, extending the series through 2023 and 2024 will clarify whether the different effects responsible for the disruption of mortality persists after 2021.</w:t>
      </w:r>
    </w:p>
    <w:bookmarkEnd w:id="32"/>
    <w:bookmarkStart w:id="33" w:name="conclusion"/>
    <w:p>
      <w:pPr>
        <w:pStyle w:val="Heading2"/>
      </w:pPr>
      <w:r>
        <w:rPr>
          <w:rStyle w:val="SectionNumber"/>
        </w:rPr>
        <w:t xml:space="preserve">4.5</w:t>
      </w:r>
      <w:r>
        <w:tab/>
      </w:r>
      <w:r>
        <w:t xml:space="preserve">Conclusion</w:t>
      </w:r>
    </w:p>
    <w:p>
      <w:pPr>
        <w:pStyle w:val="FirstParagraph"/>
      </w:pPr>
      <w:r>
        <w:t xml:space="preserve">The COVID-19 pandemic caused an exceptional disruption in mortality patterns, affecting multiple causes of death simultaneously.</w:t>
      </w:r>
      <w:r>
        <w:t xml:space="preserve"> </w:t>
      </w:r>
      <w:r>
        <w:t xml:space="preserve">This disruption provided a unique natural experiment to disentangle mechanisms that have historically overlapped, including misclassification, mortality displacement across time and causes, and the effects of control measures.</w:t>
      </w:r>
      <w:r>
        <w:t xml:space="preserve"> </w:t>
      </w:r>
      <w:r>
        <w:t xml:space="preserve">Our analysis offers a first step toward understanding the links between causes of death that normally evolve in parallel.</w:t>
      </w:r>
      <w:r>
        <w:t xml:space="preserve"> </w:t>
      </w:r>
      <w:r>
        <w:t xml:space="preserve">The next step will be to integrate multiple-cause-of-death data and explicitly model complex processes such as the harvesting effect and competing risks to achieve a more complete representation of mortality dynamics.</w:t>
      </w:r>
    </w:p>
    <w:p>
      <w:r>
        <w:br w:type="page"/>
      </w:r>
    </w:p>
    <w:bookmarkEnd w:id="33"/>
    <w:bookmarkEnd w:id="34"/>
    <w:bookmarkStart w:id="39" w:name="methods"/>
    <w:p>
      <w:pPr>
        <w:pStyle w:val="Heading1"/>
      </w:pPr>
      <w:r>
        <w:rPr>
          <w:rStyle w:val="SectionNumber"/>
        </w:rPr>
        <w:t xml:space="preserve">5</w:t>
      </w:r>
      <w:r>
        <w:tab/>
      </w:r>
      <w:r>
        <w:t xml:space="preserve">Methods</w:t>
      </w:r>
    </w:p>
    <w:bookmarkStart w:id="35" w:name="data"/>
    <w:p>
      <w:pPr>
        <w:pStyle w:val="Heading2"/>
      </w:pPr>
      <w:r>
        <w:rPr>
          <w:rStyle w:val="SectionNumber"/>
        </w:rPr>
        <w:t xml:space="preserve">5.1</w:t>
      </w:r>
      <w:r>
        <w:tab/>
      </w:r>
      <w:r>
        <w:t xml:space="preserve">Data</w:t>
      </w:r>
    </w:p>
    <w:p>
      <w:pPr>
        <w:pStyle w:val="FirstParagraph"/>
      </w:pPr>
      <w:r>
        <w:t xml:space="preserve">We received individual-level data on cause-specific deaths for the years 2011–2021 from the Federal Statistical Office (FSO), which we aggregated by age group (0–17, 18–39, 40–64, 65–79, 80+), sex, NUTS-2 region, calendar week, and calendar year.</w:t>
      </w:r>
      <w:r>
        <w:t xml:space="preserve"> </w:t>
      </w:r>
      <w:r>
        <w:t xml:space="preserve">The data include information recorded in the death certificate—such as the immediate, underlying, and contributing (concomitant) causes of death, as well as the official underlying cause of death, which is determined by the FSO based on the coding rules of the International Classification of Diseases, 10th Revision (ICD-10)</w:t>
      </w:r>
      <w:r>
        <w:t xml:space="preserve"> </w:t>
      </w:r>
      <w:r>
        <w:t xml:space="preserve">[27]</w:t>
      </w:r>
      <w:r>
        <w:t xml:space="preserve">.</w:t>
      </w:r>
      <w:r>
        <w:t xml:space="preserve"> </w:t>
      </w:r>
      <w:r>
        <w:t xml:space="preserve">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(see Table S1).</w:t>
      </w:r>
      <w:r>
        <w:t xml:space="preserve"> </w:t>
      </w:r>
      <w:r>
        <w:t xml:space="preserve">Yearly population data by sex, NUTS-2 region, and age group for the years 2011–2021 were also provided by the Federal Statistical Office (FSO).</w:t>
      </w:r>
      <w:r>
        <w:t xml:space="preserve"> </w:t>
      </w:r>
      <w:r>
        <w:t xml:space="preserve">We applied linear interpolation to obtain weekly population estimates.</w:t>
      </w:r>
    </w:p>
    <w:bookmarkEnd w:id="35"/>
    <w:bookmarkStart w:id="36" w:name="model"/>
    <w:p>
      <w:pPr>
        <w:pStyle w:val="Heading2"/>
      </w:pPr>
      <w:r>
        <w:rPr>
          <w:rStyle w:val="SectionNumber"/>
        </w:rPr>
        <w:t xml:space="preserve">5.2</w:t>
      </w:r>
      <w:r>
        <w:tab/>
      </w:r>
      <w:r>
        <w:t xml:space="preserve">Model</w:t>
      </w:r>
    </w:p>
    <w:p>
      <w:pPr>
        <w:pStyle w:val="FirstParagraph"/>
      </w:pPr>
      <w:r>
        <w:t xml:space="preserve">We modeled the weekly number of deaths by cause for each age group using a Poisson distribution with a multivariate structure under a Bayesian framework, considering only the underlying cause of death.</w:t>
      </w:r>
      <w:r>
        <w:t xml:space="preserve"> </w:t>
      </w:r>
      <w:r>
        <w:t xml:space="preserve">The model accounts for changes in population size</w:t>
      </w:r>
      <w:r>
        <w:t xml:space="preserve"> </w:t>
      </w:r>
      <m:oMath>
        <m:r>
          <m:t>N</m:t>
        </m:r>
      </m:oMath>
      <w:r>
        <w:t xml:space="preserve"> </w:t>
      </w:r>
      <w:r>
        <w:t xml:space="preserve">over time via an offset term, and includes fixed effects</w:t>
      </w:r>
      <w:r>
        <w:t xml:space="preserve"> </w:t>
      </w:r>
      <m:oMath>
        <m:r>
          <m:t>β</m:t>
        </m:r>
      </m:oMath>
      <w:r>
        <w:t xml:space="preserve"> </w:t>
      </w:r>
      <w:r>
        <w:t xml:space="preserve">and</w:t>
      </w:r>
      <w:r>
        <w:t xml:space="preserve"> </w:t>
      </w:r>
      <m:oMath>
        <m:r>
          <m:t>γ</m:t>
        </m:r>
      </m:oMath>
      <w:r>
        <w:t xml:space="preserve"> </w:t>
      </w:r>
      <w:r>
        <w:t xml:space="preserve">for differences in cause-specific mortality risk by region and sex, respectively.</w:t>
      </w:r>
      <w:r>
        <w:t xml:space="preserve"> </w:t>
      </w:r>
      <w:r>
        <w:t xml:space="preserve">Temporal variation is captured by two components: a seasonal trend modeled using a periodic Gaussian Process (GP) with an exponentiated sin-squared kernel</w:t>
      </w:r>
      <w:r>
        <w:t xml:space="preserve"> </w:t>
      </w:r>
      <m:oMath>
        <m:r>
          <m:t>f</m:t>
        </m:r>
        <m:d>
          <m:dPr>
            <m:begChr m:val="("/>
            <m:endChr m:val=")"/>
            <m:sepChr m:val=""/>
            <m:grow/>
          </m:dPr>
          <m:e>
            <m:r>
              <m:t>t</m:t>
            </m:r>
          </m:e>
        </m:d>
      </m:oMath>
      <w:r>
        <w:t xml:space="preserve">, and a long-term trend modeled using a GP with an exponentiated quadratic (squared exponential) kernel</w:t>
      </w:r>
      <w:r>
        <w:t xml:space="preserve"> </w:t>
      </w:r>
      <m:oMath>
        <m:r>
          <m:t>g</m:t>
        </m:r>
        <m:d>
          <m:dPr>
            <m:begChr m:val="("/>
            <m:endChr m:val=")"/>
            <m:sepChr m:val=""/>
            <m:grow/>
          </m:dPr>
          <m:e>
            <m:r>
              <m:t>t</m:t>
            </m:r>
          </m:e>
        </m:d>
      </m:oMath>
      <w:r>
        <w:t xml:space="preserve"> </w:t>
      </w:r>
      <w:r>
        <w:t xml:space="preserve">[28]</w:t>
      </w:r>
      <w:r>
        <w:t xml:space="preserve">, with</w:t>
      </w:r>
      <w:r>
        <w:t xml:space="preserve"> </w:t>
      </w:r>
      <m:oMath>
        <m:r>
          <m:t>t</m:t>
        </m:r>
      </m:oMath>
      <w:r>
        <w:t xml:space="preserve"> </w:t>
      </w:r>
      <w:r>
        <w:t xml:space="preserve">representing calendar weeks.</w:t>
      </w:r>
      <w:r>
        <w:t xml:space="preserve"> </w:t>
      </w:r>
      <w:r>
        <w:t xml:space="preserve">To account for the correlation between mortality risks across causes, the model incorporates a multivariate random effect</w:t>
      </w:r>
      <w:r>
        <w:t xml:space="preserve"> </w:t>
      </w:r>
      <m:oMath>
        <m:r>
          <m:t>ϵ</m:t>
        </m:r>
        <m:d>
          <m:dPr>
            <m:begChr m:val="("/>
            <m:endChr m:val=")"/>
            <m:sepChr m:val=""/>
            <m:grow/>
          </m:dPr>
          <m:e>
            <m:r>
              <m:t>t</m:t>
            </m:r>
          </m:e>
        </m:d>
        <m:r>
          <m:rPr>
            <m:sty m:val="p"/>
          </m:rPr>
          <m:t>∼</m:t>
        </m:r>
        <m:r>
          <m:rPr>
            <m:sty m:val="p"/>
            <m:scr m:val="script"/>
          </m:rPr>
          <m:t>N</m:t>
        </m:r>
        <m:d>
          <m:dPr>
            <m:begChr m:val="("/>
            <m:endChr m:val=")"/>
            <m:sepChr m:val=""/>
            <m:grow/>
          </m:dPr>
          <m:e>
            <m:r>
              <m:t>0</m:t>
            </m:r>
            <m:r>
              <m:rPr>
                <m:sty m:val="p"/>
              </m:rPr>
              <m:t>,</m:t>
            </m:r>
            <m:r>
              <m:t>Σ</m:t>
            </m:r>
          </m:e>
        </m:d>
      </m:oMath>
      <w:r>
        <w:t xml:space="preserve">, where</w:t>
      </w:r>
      <w:r>
        <w:t xml:space="preserve"> </w:t>
      </w:r>
      <m:oMath>
        <m:r>
          <m:t>Σ</m:t>
        </m:r>
      </m:oMath>
      <w:r>
        <w:t xml:space="preserve"> </w:t>
      </w:r>
      <w:r>
        <w:t xml:space="preserve">is the covariance matrix.</w:t>
      </w:r>
      <w:r>
        <w:t xml:space="preserve"> </w:t>
      </w:r>
      <w:r>
        <w:t xml:space="preserve">Correlations between causes were modeled with a Cholesky LKJ(1) prior, which imposes no a priori preference on the strength or direction of the correlations.</w:t>
      </w:r>
    </w:p>
    <w:p>
      <w:pPr>
        <w:pStyle w:val="BodyText"/>
      </w:pPr>
      <w:r>
        <w:t xml:space="preserve">The model is specified as follows:</w:t>
      </w:r>
    </w:p>
    <w:p>
      <w:pPr>
        <w:pStyle w:val="BodyText"/>
      </w:pPr>
      <m:oMathPara>
        <m:oMathParaPr>
          <m:jc m:val="center"/>
        </m:oMathParaPr>
        <m:oMath>
          <m:sSub>
            <m:e>
              <m:r>
                <m:t>y</m:t>
              </m:r>
            </m:e>
            <m:sub>
              <m:r>
                <m:t>i</m:t>
              </m:r>
              <m:r>
                <m:t>r</m:t>
              </m:r>
              <m:r>
                <m:t>s</m:t>
              </m:r>
            </m:sub>
          </m:sSub>
          <m:d>
            <m:dPr>
              <m:begChr m:val="("/>
              <m:endChr m:val=")"/>
              <m:sepChr m:val=""/>
              <m:grow/>
            </m:dPr>
            <m:e>
              <m:r>
                <m:t>t</m:t>
              </m:r>
            </m:e>
          </m:d>
          <m:r>
            <m:rPr>
              <m:sty m:val="p"/>
            </m:rPr>
            <m:t>∼</m:t>
          </m:r>
          <m:r>
            <m:rPr>
              <m:nor/>
              <m:sty m:val="p"/>
            </m:rPr>
            <m:t>Poisson</m:t>
          </m:r>
          <m:d>
            <m:dPr>
              <m:begChr m:val="("/>
              <m:endChr m:val=")"/>
              <m:sepChr m:val=""/>
              <m:grow/>
            </m:dPr>
            <m:e>
              <m:sSub>
                <m:e>
                  <m:r>
                    <m:t>μ</m:t>
                  </m:r>
                </m:e>
                <m:sub>
                  <m:r>
                    <m:t>i</m:t>
                  </m:r>
                  <m:r>
                    <m:t>r</m:t>
                  </m:r>
                  <m:r>
                    <m:t>s</m:t>
                  </m:r>
                </m:sub>
              </m:sSub>
              <m:d>
                <m:dPr>
                  <m:begChr m:val="("/>
                  <m:endChr m:val=")"/>
                  <m:sepChr m:val=""/>
                  <m:grow/>
                </m:dPr>
                <m:e>
                  <m:r>
                    <m:t>t</m:t>
                  </m:r>
                </m:e>
              </m:d>
            </m:e>
          </m:d>
        </m:oMath>
      </m:oMathPara>
    </w:p>
    <w:p>
      <w:pPr>
        <w:pStyle w:val="FirstParagraph"/>
      </w:pPr>
      <w:r>
        <w:t xml:space="preserve">with</w:t>
      </w:r>
    </w:p>
    <w:p>
      <w:pPr>
        <w:pStyle w:val="BodyText"/>
      </w:pPr>
      <m:oMathPara>
        <m:oMathParaPr>
          <m:jc m:val="center"/>
        </m:oMathParaPr>
        <m:oMath>
          <m:r>
            <m:rPr>
              <m:sty m:val="p"/>
            </m:rPr>
            <m:t>log</m:t>
          </m:r>
          <m:sSub>
            <m:e>
              <m:r>
                <m:t>μ</m:t>
              </m:r>
            </m:e>
            <m:sub>
              <m:r>
                <m:t>i</m:t>
              </m:r>
              <m:r>
                <m:t>r</m:t>
              </m:r>
              <m:r>
                <m:t>s</m:t>
              </m:r>
            </m:sub>
          </m:sSub>
          <m:d>
            <m:dPr>
              <m:begChr m:val="("/>
              <m:endChr m:val=")"/>
              <m:sepChr m:val=""/>
              <m:grow/>
            </m:dPr>
            <m:e>
              <m:r>
                <m:t>t</m:t>
              </m:r>
            </m:e>
          </m:d>
          <m:r>
            <m:rPr>
              <m:sty m:val="p"/>
            </m:rPr>
            <m:t>=</m:t>
          </m:r>
          <m:sSub>
            <m:e>
              <m:r>
                <m:t>α</m:t>
              </m:r>
            </m:e>
            <m:sub>
              <m:r>
                <m:t>i</m:t>
              </m:r>
            </m:sub>
          </m:sSub>
          <m:r>
            <m:rPr>
              <m:sty m:val="p"/>
            </m:rPr>
            <m:t>+</m:t>
          </m:r>
          <m:sSub>
            <m:e>
              <m:r>
                <m:t>β</m:t>
              </m:r>
            </m:e>
            <m:sub>
              <m:r>
                <m:t>i</m:t>
              </m:r>
              <m:r>
                <m:t>r</m:t>
              </m:r>
            </m:sub>
          </m:sSub>
          <m:r>
            <m:rPr>
              <m:sty m:val="p"/>
            </m:rPr>
            <m:t>+</m:t>
          </m:r>
          <m:sSub>
            <m:e>
              <m:r>
                <m:t>γ</m:t>
              </m:r>
            </m:e>
            <m:sub>
              <m:r>
                <m:t>i</m:t>
              </m:r>
              <m:r>
                <m:t>s</m:t>
              </m:r>
            </m:sub>
          </m:sSub>
          <m:r>
            <m:rPr>
              <m:sty m:val="p"/>
            </m:rPr>
            <m:t>+</m:t>
          </m:r>
          <m:sSub>
            <m:e>
              <m:r>
                <m:t>f</m:t>
              </m:r>
            </m:e>
            <m:sub>
              <m:r>
                <m:t>i</m:t>
              </m:r>
            </m:sub>
          </m:sSub>
          <m:d>
            <m:dPr>
              <m:begChr m:val="("/>
              <m:endChr m:val=")"/>
              <m:sepChr m:val=""/>
              <m:grow/>
            </m:dPr>
            <m:e>
              <m:r>
                <m:t>t</m:t>
              </m:r>
            </m:e>
          </m:d>
          <m:r>
            <m:rPr>
              <m:sty m:val="p"/>
            </m:rPr>
            <m:t>+</m:t>
          </m:r>
          <m:sSub>
            <m:e>
              <m:r>
                <m:t>g</m:t>
              </m:r>
            </m:e>
            <m:sub>
              <m:r>
                <m:t>i</m:t>
              </m:r>
            </m:sub>
          </m:sSub>
          <m:d>
            <m:dPr>
              <m:begChr m:val="("/>
              <m:endChr m:val=")"/>
              <m:sepChr m:val=""/>
              <m:grow/>
            </m:dPr>
            <m:e>
              <m:r>
                <m:t>t</m:t>
              </m:r>
            </m:e>
          </m:d>
          <m:r>
            <m:rPr>
              <m:sty m:val="p"/>
            </m:rPr>
            <m:t>+</m:t>
          </m:r>
          <m:sSub>
            <m:e>
              <m:r>
                <m:t>ϵ</m:t>
              </m:r>
            </m:e>
            <m:sub>
              <m:r>
                <m:t>i</m:t>
              </m:r>
            </m:sub>
          </m:sSub>
          <m:d>
            <m:dPr>
              <m:begChr m:val="("/>
              <m:endChr m:val=")"/>
              <m:sepChr m:val=""/>
              <m:grow/>
            </m:dPr>
            <m:e>
              <m:r>
                <m:t>t</m:t>
              </m:r>
            </m:e>
          </m:d>
          <m:r>
            <m:rPr>
              <m:sty m:val="p"/>
            </m:rPr>
            <m:t>+</m:t>
          </m:r>
          <m:r>
            <m:rPr>
              <m:sty m:val="p"/>
            </m:rPr>
            <m:t>log</m:t>
          </m:r>
          <m:sSub>
            <m:e>
              <m:r>
                <m:t>N</m:t>
              </m:r>
            </m:e>
            <m:sub>
              <m:r>
                <m:t>i</m:t>
              </m:r>
              <m:r>
                <m:t>r</m:t>
              </m:r>
              <m:r>
                <m:t>s</m:t>
              </m:r>
              <m:r>
                <m:t>t</m:t>
              </m:r>
            </m:sub>
          </m:sSub>
          <m:r>
            <m:rPr>
              <m:sty m:val="p"/>
            </m:rPr>
            <m:t>,</m:t>
          </m:r>
        </m:oMath>
      </m:oMathPara>
    </w:p>
    <w:p>
      <w:pPr>
        <w:pStyle w:val="FirstParagraph"/>
      </w:pPr>
      <w:r>
        <w:t xml:space="preserve">where</w:t>
      </w:r>
      <w:r>
        <w:t xml:space="preserve"> </w:t>
      </w:r>
      <m:oMath>
        <m:sSub>
          <m:e>
            <m:r>
              <m:t>y</m:t>
            </m:r>
          </m:e>
          <m:sub>
            <m:r>
              <m:t>i</m:t>
            </m:r>
            <m:r>
              <m:t>r</m:t>
            </m:r>
            <m:r>
              <m:t>s</m:t>
            </m:r>
          </m:sub>
        </m:sSub>
        <m:d>
          <m:dPr>
            <m:begChr m:val="("/>
            <m:endChr m:val=")"/>
            <m:sepChr m:val=""/>
            <m:grow/>
          </m:dPr>
          <m:e>
            <m:r>
              <m:t>t</m:t>
            </m:r>
          </m:e>
        </m:d>
      </m:oMath>
      <w:r>
        <w:t xml:space="preserve"> </w:t>
      </w:r>
      <w:r>
        <w:t xml:space="preserve">denotes the observed number of deaths due to cause</w:t>
      </w:r>
      <w:r>
        <w:t xml:space="preserve"> </w:t>
      </w:r>
      <m:oMath>
        <m:r>
          <m:t>i</m:t>
        </m:r>
      </m:oMath>
      <w:r>
        <w:t xml:space="preserve"> </w:t>
      </w:r>
      <w:r>
        <w:t xml:space="preserve">in week</w:t>
      </w:r>
      <w:r>
        <w:t xml:space="preserve"> </w:t>
      </w:r>
      <m:oMath>
        <m:r>
          <m:t>t</m:t>
        </m:r>
      </m:oMath>
      <w:r>
        <w:t xml:space="preserve">, region</w:t>
      </w:r>
      <w:r>
        <w:t xml:space="preserve"> </w:t>
      </w:r>
      <m:oMath>
        <m:r>
          <m:t>r</m:t>
        </m:r>
      </m:oMath>
      <w:r>
        <w:t xml:space="preserve">, and sex</w:t>
      </w:r>
      <w:r>
        <w:t xml:space="preserve"> </w:t>
      </w:r>
      <m:oMath>
        <m:r>
          <m:t>s</m:t>
        </m:r>
      </m:oMath>
      <w:r>
        <w:t xml:space="preserve">, and</w:t>
      </w:r>
      <w:r>
        <w:t xml:space="preserve"> </w:t>
      </w:r>
      <m:oMath>
        <m:sSub>
          <m:e>
            <m:r>
              <m:t>α</m:t>
            </m:r>
          </m:e>
          <m:sub>
            <m:r>
              <m:t>i</m:t>
            </m:r>
          </m:sub>
        </m:sSub>
      </m:oMath>
      <w:r>
        <w:t xml:space="preserve"> </w:t>
      </w:r>
      <w:r>
        <w:t xml:space="preserve">is the baseline log-transformed mortality risk.</w:t>
      </w:r>
      <w:r>
        <w:t xml:space="preserve"> </w:t>
      </w:r>
      <w:r>
        <w:t xml:space="preserve">Note that even though we use a Poisson likelihood, this model accounts for potential overdispersion through its complex random-effect structure.</w:t>
      </w:r>
      <w:r>
        <w:t xml:space="preserve"> </w:t>
      </w:r>
    </w:p>
    <w:p>
      <w:pPr>
        <w:pStyle w:val="BodyText"/>
      </w:pPr>
      <w:r>
        <w:t xml:space="preserve">The model was run independently for each age group and fitted to the weekly number of cause-specific deaths</w:t>
      </w:r>
      <w:r>
        <w:t xml:space="preserve"> </w:t>
      </w:r>
      <m:oMath>
        <m:sSub>
          <m:e>
            <m:r>
              <m:t>y</m:t>
            </m:r>
          </m:e>
          <m:sub>
            <m:r>
              <m:t>i</m:t>
            </m:r>
            <m:r>
              <m:t>r</m:t>
            </m:r>
            <m:r>
              <m:t>s</m:t>
            </m:r>
          </m:sub>
        </m:sSub>
        <m:d>
          <m:dPr>
            <m:begChr m:val="("/>
            <m:endChr m:val=")"/>
            <m:sepChr m:val=""/>
            <m:grow/>
          </m:dPr>
          <m:e>
            <m:r>
              <m:t>t</m:t>
            </m:r>
          </m:e>
        </m:d>
      </m:oMath>
      <w:r>
        <w:t xml:space="preserve"> </w:t>
      </w:r>
      <w:r>
        <w:t xml:space="preserve">observed between 1 January 2011 and and 31 December 2019.</w:t>
      </w:r>
      <w:r>
        <w:t xml:space="preserve"> </w:t>
      </w:r>
      <w:r>
        <w:t xml:space="preserve">It was then used to estimate the weekly</w:t>
      </w:r>
      <w:r>
        <w:t xml:space="preserve"> </w:t>
      </w:r>
      <w:r>
        <w:rPr>
          <w:i/>
          <w:iCs/>
        </w:rPr>
        <w:t xml:space="preserve">expected number of deaths</w:t>
      </w:r>
      <w:r>
        <w:t xml:space="preserve"> </w:t>
      </w:r>
      <m:oMath>
        <m:sSub>
          <m:e>
            <m:acc>
              <m:accPr>
                <m:chr m:val="̃"/>
              </m:accPr>
              <m:e>
                <m:r>
                  <m:t>y</m:t>
                </m:r>
              </m:e>
            </m:acc>
          </m:e>
          <m:sub>
            <m:r>
              <m:t>i</m:t>
            </m:r>
            <m:r>
              <m:t>r</m:t>
            </m:r>
            <m:r>
              <m:t>s</m:t>
            </m:r>
          </m:sub>
        </m:sSub>
        <m:d>
          <m:dPr>
            <m:begChr m:val="("/>
            <m:endChr m:val=")"/>
            <m:sepChr m:val=""/>
            <m:grow/>
          </m:dPr>
          <m:e>
            <m:r>
              <m:t>t</m:t>
            </m:r>
          </m:e>
        </m:d>
      </m:oMath>
      <w:r>
        <w:t xml:space="preserve"> </w:t>
      </w:r>
      <w:r>
        <w:t xml:space="preserve">in 2020 and 2021, defined as the</w:t>
      </w:r>
      <w:r>
        <w:t xml:space="preserve"> </w:t>
      </w:r>
      <w:r>
        <w:rPr>
          <w:i/>
          <w:iCs/>
        </w:rPr>
        <w:t xml:space="preserve">posterior predictive distribution</w:t>
      </w:r>
      <w:r>
        <w:t xml:space="preserve"> </w:t>
      </w:r>
      <w:r>
        <w:t xml:space="preserve">after removing the random effect</w:t>
      </w:r>
      <w:r>
        <w:t xml:space="preserve"> </w:t>
      </w:r>
      <m:oMath>
        <m:r>
          <m:t>ϵ</m:t>
        </m:r>
        <m:d>
          <m:dPr>
            <m:begChr m:val="("/>
            <m:endChr m:val=")"/>
            <m:sepChr m:val=""/>
            <m:grow/>
          </m:dPr>
          <m:e>
            <m:r>
              <m:t>t</m:t>
            </m:r>
          </m:e>
        </m:d>
      </m:oMath>
      <w:r>
        <w:t xml:space="preserve"> </w:t>
      </w:r>
      <w:r>
        <w:t xml:space="preserve">from the log mortality risk</w:t>
      </w:r>
      <w:r>
        <w:t xml:space="preserve"> </w:t>
      </w:r>
      <m:oMath>
        <m:sSub>
          <m:e>
            <m:r>
              <m:t>μ</m:t>
            </m:r>
          </m:e>
          <m:sub>
            <m:r>
              <m:t>i</m:t>
            </m:r>
            <m:r>
              <m:t>r</m:t>
            </m:r>
            <m:r>
              <m:t>s</m:t>
            </m:r>
          </m:sub>
        </m:sSub>
        <m:d>
          <m:dPr>
            <m:begChr m:val="("/>
            <m:endChr m:val=")"/>
            <m:sepChr m:val=""/>
            <m:grow/>
          </m:dPr>
          <m:e>
            <m:r>
              <m:t>t</m:t>
            </m:r>
          </m:e>
        </m:d>
      </m:oMath>
      <w:r>
        <w:t xml:space="preserve">.</w:t>
      </w:r>
      <w:r>
        <w:t xml:space="preserve"> </w:t>
      </w:r>
      <w:r>
        <w:t xml:space="preserve">We removed</w:t>
      </w:r>
      <w:r>
        <w:t xml:space="preserve"> </w:t>
      </w:r>
      <m:oMath>
        <m:r>
          <m:t>ϵ</m:t>
        </m:r>
        <m:d>
          <m:dPr>
            <m:begChr m:val="("/>
            <m:endChr m:val=")"/>
            <m:sepChr m:val=""/>
            <m:grow/>
          </m:dPr>
          <m:e>
            <m:r>
              <m:t>t</m:t>
            </m:r>
          </m:e>
        </m:d>
      </m:oMath>
      <w:r>
        <w:t xml:space="preserve"> </w:t>
      </w:r>
      <w:r>
        <w:t xml:space="preserve">because it is designed to capture</w:t>
      </w:r>
      <w:r>
        <w:t xml:space="preserve"> </w:t>
      </w:r>
      <w:r>
        <w:rPr>
          <w:i/>
          <w:iCs/>
        </w:rPr>
        <w:t xml:space="preserve">excess mortality</w:t>
      </w:r>
      <w:r>
        <w:t xml:space="preserve">—that is, unexplained or anomalous variation beyond structured trends.</w:t>
      </w:r>
      <w:r>
        <w:t xml:space="preserve"> </w:t>
      </w:r>
      <w:r>
        <w:t xml:space="preserve">Weekly excess mortality by cause, region and sex</w:t>
      </w:r>
      <w:r>
        <w:t xml:space="preserve"> </w:t>
      </w:r>
      <m:oMath>
        <m:sSub>
          <m:e>
            <m:r>
              <m:t>E</m:t>
            </m:r>
          </m:e>
          <m:sub>
            <m:r>
              <m:t>i</m:t>
            </m:r>
            <m:r>
              <m:t>r</m:t>
            </m:r>
            <m:r>
              <m:t>s</m:t>
            </m:r>
          </m:sub>
        </m:sSub>
        <m:d>
          <m:dPr>
            <m:begChr m:val="("/>
            <m:endChr m:val=")"/>
            <m:sepChr m:val=""/>
            <m:grow/>
          </m:dPr>
          <m:e>
            <m:r>
              <m:t>t</m:t>
            </m:r>
          </m:e>
        </m:d>
      </m:oMath>
      <w:r>
        <w:t xml:space="preserve"> </w:t>
      </w:r>
      <w:r>
        <w:t xml:space="preserve">was then defined as the difference between observed and expected deaths:</w:t>
      </w:r>
    </w:p>
    <w:p>
      <w:pPr>
        <w:pStyle w:val="BodyText"/>
      </w:pPr>
      <m:oMathPara>
        <m:oMathParaPr>
          <m:jc m:val="center"/>
        </m:oMathParaPr>
        <m:oMath>
          <m:sSub>
            <m:e>
              <m:r>
                <m:t>E</m:t>
              </m:r>
            </m:e>
            <m:sub>
              <m:r>
                <m:t>i</m:t>
              </m:r>
              <m:r>
                <m:t>r</m:t>
              </m:r>
              <m:r>
                <m:t>s</m:t>
              </m:r>
            </m:sub>
          </m:sSub>
          <m:d>
            <m:dPr>
              <m:begChr m:val="("/>
              <m:endChr m:val=")"/>
              <m:sepChr m:val=""/>
              <m:grow/>
            </m:dPr>
            <m:e>
              <m:r>
                <m:t>t</m:t>
              </m:r>
            </m:e>
          </m:d>
          <m:box>
            <m:boxPr>
              <m:opEmu m:val="on"/>
            </m:boxPr>
            <m:e>
              <m:r>
                <m:rPr>
                  <m:sty m:val="p"/>
                </m:rPr>
                <m:t>:=</m:t>
              </m:r>
            </m:e>
          </m:box>
          <m:sSub>
            <m:e>
              <m:r>
                <m:t>y</m:t>
              </m:r>
            </m:e>
            <m:sub>
              <m:r>
                <m:t>i</m:t>
              </m:r>
              <m:r>
                <m:t>r</m:t>
              </m:r>
              <m:r>
                <m:t>s</m:t>
              </m:r>
            </m:sub>
          </m:sSub>
          <m:d>
            <m:dPr>
              <m:begChr m:val="("/>
              <m:endChr m:val=")"/>
              <m:sepChr m:val=""/>
              <m:grow/>
            </m:dPr>
            <m:e>
              <m:r>
                <m:t>t</m:t>
              </m:r>
            </m:e>
          </m:d>
          <m:r>
            <m:rPr>
              <m:sty m:val="p"/>
            </m:rPr>
            <m:t>−</m:t>
          </m:r>
          <m:sSub>
            <m:e>
              <m:acc>
                <m:accPr>
                  <m:chr m:val="̃"/>
                </m:accPr>
                <m:e>
                  <m:r>
                    <m:t>y</m:t>
                  </m:r>
                </m:e>
              </m:acc>
            </m:e>
            <m:sub>
              <m:r>
                <m:t>i</m:t>
              </m:r>
              <m:r>
                <m:t>r</m:t>
              </m:r>
              <m:r>
                <m:t>s</m:t>
              </m:r>
            </m:sub>
          </m:sSub>
          <m:d>
            <m:dPr>
              <m:begChr m:val="("/>
              <m:endChr m:val=")"/>
              <m:sepChr m:val=""/>
              <m:grow/>
            </m:dPr>
            <m:e>
              <m:r>
                <m:t>t</m:t>
              </m:r>
            </m:e>
          </m:d>
          <m:r>
            <m:rPr>
              <m:sty m:val="p"/>
            </m:rPr>
            <m:t>.</m:t>
          </m:r>
        </m:oMath>
      </m:oMathPara>
    </w:p>
    <w:p>
      <w:pPr>
        <w:pStyle w:val="FirstParagraph"/>
      </w:pPr>
      <w:r>
        <w:t xml:space="preserve"> </w:t>
      </w:r>
      <w:r>
        <w:t xml:space="preserve">We also reported aggregated estimates of excess mortality (i.e.,</w:t>
      </w:r>
      <w:r>
        <w:t xml:space="preserve"> </w:t>
      </w:r>
      <w:r>
        <w:rPr>
          <w:i/>
          <w:iCs/>
        </w:rPr>
        <w:t xml:space="preserve">all-cause excess mortality</w:t>
      </w:r>
      <w:r>
        <w:t xml:space="preserve">), across regions, across sexes and across time periods.</w:t>
      </w:r>
      <w:r>
        <w:t xml:space="preserve"> </w:t>
      </w:r>
      <w:r>
        <w:t xml:space="preserve">This is simply obtained by adding posterior samples.</w:t>
      </w:r>
    </w:p>
    <w:bookmarkEnd w:id="36"/>
    <w:bookmarkStart w:id="38" w:name="further-analysis"/>
    <w:p>
      <w:pPr>
        <w:pStyle w:val="Heading2"/>
      </w:pPr>
      <w:r>
        <w:rPr>
          <w:rStyle w:val="SectionNumber"/>
        </w:rPr>
        <w:t xml:space="preserve">5.3</w:t>
      </w:r>
      <w:r>
        <w:tab/>
      </w:r>
      <w:r>
        <w:t xml:space="preserve">Further analysis</w:t>
      </w:r>
    </w:p>
    <w:p>
      <w:pPr>
        <w:pStyle w:val="FirstParagraph"/>
      </w:pPr>
      <w:r>
        <w:t xml:space="preserve">We examined how excess deaths from specific causes were related over time to excess deaths from COVID-19 during 2020–21.</w:t>
      </w:r>
      <w:r>
        <w:t xml:space="preserve"> </w:t>
      </w:r>
      <w:r>
        <w:t xml:space="preserve">To do this, we computed partial Pearson correlations between posterior samples of cause-specific excess deaths and COVID-19 deaths, while controlling for excess deaths from other respiratory diseases.</w:t>
      </w:r>
      <w:r>
        <w:t xml:space="preserve"> </w:t>
      </w:r>
      <w:r>
        <w:t xml:space="preserve">This adjustment aimed to separate the association with COVID-19 from that with other circulating respiratory pathogens.</w:t>
      </w:r>
      <w:r>
        <w:t xml:space="preserve"> </w:t>
      </w:r>
      <w:r>
        <w:t xml:space="preserve">We also explored the effect of time lags, by shifting the time series of cause-specific excess deaths up to 8 weeks forward and backward, to assess whether the strength of association varied depending on timing.</w:t>
      </w:r>
      <w:r>
        <w:t xml:space="preserve"> </w:t>
      </w:r>
      <w:r>
        <w:t xml:space="preserve">We performed the same analysis to assess the relationship between cause-specific excess deaths and excess deaths due to (non-COVID) respiratory diseases, this time adjusting for COVID-19 mortality.</w:t>
      </w:r>
    </w:p>
    <w:p>
      <w:pPr>
        <w:pStyle w:val="BodyText"/>
      </w:pPr>
      <w:r>
        <w:t xml:space="preserve">To better understand the observed trends in deaths with cancer as the underlying cause, we conducted an additional analysis including all individuals who died</w:t>
      </w:r>
      <w:r>
        <w:t xml:space="preserve"> </w:t>
      </w:r>
      <w:r>
        <w:rPr>
          <w:i/>
          <w:iCs/>
        </w:rPr>
        <w:t xml:space="preserve">with</w:t>
      </w:r>
      <w:r>
        <w:t xml:space="preserve"> </w:t>
      </w:r>
      <w:r>
        <w:t xml:space="preserve">cancer, i.e., where cancer was reported either as the underlying (referred to as</w:t>
      </w:r>
      <w:r>
        <w:t xml:space="preserve"> </w:t>
      </w:r>
      <w:r>
        <w:rPr>
          <w:i/>
          <w:iCs/>
        </w:rPr>
        <w:t xml:space="preserve">deaths from cancer</w:t>
      </w:r>
      <w:r>
        <w:t xml:space="preserve">) or the immediate cause of death.</w:t>
      </w:r>
      <w:r>
        <w:t xml:space="preserve"> </w:t>
      </w:r>
      <w:r>
        <w:t xml:space="preserve">We computed the number of deaths from cancer to the total number of deaths with cancer over time and examined their distribution by cancer survival rate to assess whether competing risks with COVID-19 might explain some of the observed patterns.</w:t>
      </w:r>
      <w:r>
        <w:t xml:space="preserve"> </w:t>
      </w:r>
      <w:r>
        <w:t xml:space="preserve">We performed all the analyses in R version 4.4.1 and Stan version 2.35.0</w:t>
      </w:r>
      <w:r>
        <w:t xml:space="preserve"> </w:t>
      </w:r>
      <w:r>
        <w:t xml:space="preserve">[29]</w:t>
      </w:r>
      <w:r>
        <w:t xml:space="preserve">.</w:t>
      </w:r>
      <w:r>
        <w:t xml:space="preserve"> </w:t>
      </w:r>
      <w:r>
        <w:t xml:space="preserve">All code is available from</w:t>
      </w:r>
      <w:r>
        <w:t xml:space="preserve"> </w:t>
      </w:r>
      <w:hyperlink r:id="rId37">
        <w:r>
          <w:rPr>
            <w:rStyle w:val="Hyperlink"/>
          </w:rPr>
          <w:t xml:space="preserve">https://github.com/anthonyhauser/causes-of-deaths</w:t>
        </w:r>
      </w:hyperlink>
      <w:r>
        <w:t xml:space="preserve">.</w:t>
      </w:r>
    </w:p>
    <w:p>
      <w:r>
        <w:br w:type="page"/>
      </w:r>
    </w:p>
    <w:bookmarkEnd w:id="38"/>
    <w:bookmarkEnd w:id="39"/>
    <w:bookmarkStart w:id="55" w:name="figures"/>
    <w:p>
      <w:pPr>
        <w:pStyle w:val="Heading1"/>
      </w:pPr>
      <w:r>
        <w:rPr>
          <w:rStyle w:val="SectionNumber"/>
        </w:rPr>
        <w:t xml:space="preserve">6</w:t>
      </w:r>
      <w:r>
        <w:tab/>
      </w:r>
      <w:r>
        <w:t xml:space="preserve">Figures</w:t>
      </w:r>
    </w:p>
    <w:p>
      <w:pPr>
        <w:pStyle w:val="FirstParagraph"/>
      </w:pPr>
      <w:r>
        <w:drawing>
          <wp:inline>
            <wp:extent cx="5943600" cy="2971800"/>
            <wp:effectExtent b="0" l="0" r="0" t="0"/>
            <wp:docPr descr="" title="" id="41" name="Picture"/>
            <a:graphic>
              <a:graphicData uri="http://schemas.openxmlformats.org/drawingml/2006/picture">
                <pic:pic>
                  <pic:nvPicPr>
                    <pic:cNvPr descr="causes-of-deaths_manuscript_files/figure-docx/unnamed-chunk-5-1.png" id="42" name="Picture"/>
                    <pic:cNvPicPr>
                      <a:picLocks noChangeArrowheads="1" noChangeAspect="1"/>
                    </pic:cNvPicPr>
                  </pic:nvPicPr>
                  <pic:blipFill>
                    <a:blip r:embed="rId40"/>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Cause-of-death data in 2020-21. A. Number of deaths by age groups in 2020-21. B. Distribution of the deaths occured in 2020-21 over the nine causes of deaths for each age group.</w:t>
      </w:r>
    </w:p>
    <w:p>
      <w:pPr>
        <w:pStyle w:val="BodyText"/>
      </w:pPr>
      <w:r>
        <w:drawing>
          <wp:inline>
            <wp:extent cx="5943600" cy="8321040"/>
            <wp:effectExtent b="0" l="0" r="0" t="0"/>
            <wp:docPr descr="" title="" id="44" name="Picture"/>
            <a:graphic>
              <a:graphicData uri="http://schemas.openxmlformats.org/drawingml/2006/picture">
                <pic:pic>
                  <pic:nvPicPr>
                    <pic:cNvPr descr="causes-of-deaths_manuscript_files/figure-docx/unnamed-chunk-6-1.png" id="45" name="Picture"/>
                    <pic:cNvPicPr>
                      <a:picLocks noChangeArrowheads="1" noChangeAspect="1"/>
                    </pic:cNvPicPr>
                  </pic:nvPicPr>
                  <pic:blipFill>
                    <a:blip r:embed="rId43"/>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Model fit and cross-cause dependencies for the 80+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BodyText"/>
      </w:pPr>
      <w:r>
        <w:drawing>
          <wp:inline>
            <wp:extent cx="5943600" cy="6483927"/>
            <wp:effectExtent b="0" l="0" r="0" t="0"/>
            <wp:docPr descr="" title="" id="47" name="Picture"/>
            <a:graphic>
              <a:graphicData uri="http://schemas.openxmlformats.org/drawingml/2006/picture">
                <pic:pic>
                  <pic:nvPicPr>
                    <pic:cNvPr descr="causes-of-deaths_manuscript_files/figure-docx/unnamed-chunk-7-1.png" id="48" name="Picture"/>
                    <pic:cNvPicPr>
                      <a:picLocks noChangeArrowheads="1" noChangeAspect="1"/>
                    </pic:cNvPicPr>
                  </pic:nvPicPr>
                  <pic:blipFill>
                    <a:blip r:embed="rId46"/>
                    <a:stretch>
                      <a:fillRect/>
                    </a:stretch>
                  </pic:blipFill>
                  <pic:spPr bwMode="auto">
                    <a:xfrm>
                      <a:off x="0" y="0"/>
                      <a:ext cx="5943600" cy="6483927"/>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CrI. B. Cumulative number of excess deaths with (in yellow) or without (in red) COVID-19 deaths, for each age group.</w:t>
      </w:r>
    </w:p>
    <w:p>
      <w:pPr>
        <w:pStyle w:val="BodyText"/>
      </w:pPr>
      <w:r>
        <w:drawing>
          <wp:inline>
            <wp:extent cx="5943600" cy="4664075"/>
            <wp:effectExtent b="0" l="0" r="0" t="0"/>
            <wp:docPr descr="" title="" id="50" name="Picture"/>
            <a:graphic>
              <a:graphicData uri="http://schemas.openxmlformats.org/drawingml/2006/picture">
                <pic:pic>
                  <pic:nvPicPr>
                    <pic:cNvPr descr="causes-of-deaths_manuscript_files/figure-docx/unnamed-chunk-8-1.png" id="51" name="Picture"/>
                    <pic:cNvPicPr>
                      <a:picLocks noChangeArrowheads="1" noChangeAspect="1"/>
                    </pic:cNvPicPr>
                  </pic:nvPicPr>
                  <pic:blipFill>
                    <a:blip r:embed="rId49"/>
                    <a:stretch>
                      <a:fillRect/>
                    </a:stretch>
                  </pic:blipFill>
                  <pic:spPr bwMode="auto">
                    <a:xfrm>
                      <a:off x="0" y="0"/>
                      <a:ext cx="5943600" cy="4664075"/>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Cause-specific excess mortality by phase. Black lines and gray area correspond to posterior mean and 95% CrI of the cumulative (relative and absolute) excess mortality over 2020-21, respectively. The colored points and vertical lines correspond to posterior mean and 95% CrI of the relative excess mortality by phase, respectively. The phases are delimited by the dashed vertical lines. Panels A to D represent the different age groups. See Fig S5-S9 for the excess mortality by phase for each cause and each age group.</w:t>
      </w:r>
    </w:p>
    <w:p>
      <w:pPr>
        <w:pStyle w:val="BodyText"/>
      </w:pPr>
      <w:r>
        <w:drawing>
          <wp:inline>
            <wp:extent cx="5943600" cy="5943600"/>
            <wp:effectExtent b="0" l="0" r="0" t="0"/>
            <wp:docPr descr="" title="" id="53" name="Picture"/>
            <a:graphic>
              <a:graphicData uri="http://schemas.openxmlformats.org/drawingml/2006/picture">
                <pic:pic>
                  <pic:nvPicPr>
                    <pic:cNvPr descr="causes-of-deaths_manuscript_files/figure-docx/unnamed-chunk-9-1.png" id="54" name="Picture"/>
                    <pic:cNvPicPr>
                      <a:picLocks noChangeArrowheads="1" noChangeAspect="1"/>
                    </pic:cNvPicPr>
                  </pic:nvPicPr>
                  <pic:blipFill>
                    <a:blip r:embed="rId52"/>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Partial correlation between excess mortality due to either COVID-19 (red) or to other respiratory diseases (blue, tagged as</w:t>
      </w:r>
      <w:r>
        <w:t xml:space="preserve"> </w:t>
      </w:r>
      <w:r>
        <w:t xml:space="preserve">“Respiratory Diseases”</w:t>
      </w:r>
      <w:r>
        <w:t xml:space="preserve">) and excess mortality due to cardiovascular diseases, cancers or mental/neurological diseases, for 65-79 and 80+ age groups, considering different lags (in weeks). Solid color lines correspond to the posterior mean and shaded colored area to the 95% CrI. The vertical dashed lines indicate the lag with the highest absolute partial correlation. A positive lag corresponds to the situation where excess mortality due to respiratory diseases (either COVID-19 or other respiratory diseases) occurs slightly after excess mortality due to the considered cause.</w:t>
      </w:r>
    </w:p>
    <w:p>
      <w:r>
        <w:br w:type="page"/>
      </w:r>
    </w:p>
    <w:bookmarkEnd w:id="55"/>
    <w:bookmarkStart w:id="56" w:name="data-sharing-statement"/>
    <w:p>
      <w:pPr>
        <w:pStyle w:val="Heading1"/>
      </w:pPr>
      <w:r>
        <w:rPr>
          <w:rStyle w:val="SectionNumber"/>
        </w:rPr>
        <w:t xml:space="preserve">7</w:t>
      </w:r>
      <w:r>
        <w:tab/>
      </w:r>
      <w:r>
        <w:t xml:space="preserve">Data sharing statement</w:t>
      </w:r>
    </w:p>
    <w:p>
      <w:pPr>
        <w:pStyle w:val="FirstParagraph"/>
      </w:pPr>
      <w:r>
        <w:t xml:space="preserve">Code is available at</w:t>
      </w:r>
      <w:r>
        <w:t xml:space="preserve"> </w:t>
      </w:r>
      <w:hyperlink r:id="rId37">
        <w:r>
          <w:rPr>
            <w:rStyle w:val="Hyperlink"/>
          </w:rPr>
          <w:t xml:space="preserve">https://github.com/anthonyhauser/causes-of-deaths</w:t>
        </w:r>
      </w:hyperlink>
    </w:p>
    <w:bookmarkEnd w:id="56"/>
    <w:bookmarkStart w:id="57" w:name="declarations"/>
    <w:p>
      <w:pPr>
        <w:pStyle w:val="Heading1"/>
      </w:pPr>
      <w:r>
        <w:rPr>
          <w:rStyle w:val="SectionNumber"/>
        </w:rPr>
        <w:t xml:space="preserve">8</w:t>
      </w:r>
      <w:r>
        <w:tab/>
      </w:r>
      <w:r>
        <w:t xml:space="preserve">Declarations</w:t>
      </w:r>
    </w:p>
    <w:p>
      <w:pPr>
        <w:pStyle w:val="FirstParagraph"/>
      </w:pPr>
      <w:r>
        <w:rPr>
          <w:b/>
          <w:bCs/>
        </w:rPr>
        <w:t xml:space="preserve">Funding</w:t>
      </w:r>
    </w:p>
    <w:p>
      <w:pPr>
        <w:pStyle w:val="BodyText"/>
      </w:pPr>
      <w:r>
        <w:t xml:space="preserve">The work was financially supported by the Swiss Federal Office of Public Health (FOPH).</w:t>
      </w:r>
    </w:p>
    <w:p>
      <w:pPr>
        <w:pStyle w:val="BodyText"/>
      </w:pPr>
      <w:r>
        <w:rPr>
          <w:b/>
          <w:bCs/>
        </w:rPr>
        <w:t xml:space="preserve">Competing Interests</w:t>
      </w:r>
    </w:p>
    <w:p>
      <w:pPr>
        <w:pStyle w:val="BodyText"/>
      </w:pPr>
      <w:r>
        <w:t xml:space="preserve">The authors declare they have no conflict of interest.</w:t>
      </w:r>
    </w:p>
    <w:p>
      <w:pPr>
        <w:pStyle w:val="BodyText"/>
      </w:pPr>
      <w:r>
        <w:rPr>
          <w:b/>
          <w:bCs/>
        </w:rPr>
        <w:t xml:space="preserve">Author Contributions</w:t>
      </w:r>
    </w:p>
    <w:p>
      <w:pPr>
        <w:pStyle w:val="BodyText"/>
      </w:pPr>
      <w:r>
        <w:t xml:space="preserve">AH, MW, AF, AL and JR contributed to the study conception and design.</w:t>
      </w:r>
      <w:r>
        <w:t xml:space="preserve"> </w:t>
      </w:r>
      <w:r>
        <w:t xml:space="preserve">Material preparation, data collection and analysis were performed by AH, MW, AF, AL and JR.</w:t>
      </w:r>
      <w:r>
        <w:t xml:space="preserve"> </w:t>
      </w:r>
      <w:r>
        <w:t xml:space="preserve">All authors contributed to the interpretation of the results.</w:t>
      </w:r>
      <w:r>
        <w:t xml:space="preserve"> </w:t>
      </w:r>
      <w:r>
        <w:t xml:space="preserve">The first draft of the manuscript was written by AH and JR, and all authors commented on previous versions of the manuscript.</w:t>
      </w:r>
      <w:r>
        <w:t xml:space="preserve"> </w:t>
      </w:r>
      <w:r>
        <w:t xml:space="preserve">All authors read and approved the final manuscript.</w:t>
      </w:r>
    </w:p>
    <w:p>
      <w:pPr>
        <w:pStyle w:val="BodyText"/>
      </w:pPr>
      <w:r>
        <w:rPr>
          <w:b/>
          <w:bCs/>
        </w:rPr>
        <w:t xml:space="preserve">Ethic approval</w:t>
      </w:r>
    </w:p>
    <w:p>
      <w:pPr>
        <w:pStyle w:val="BodyText"/>
      </w:pPr>
      <w:r>
        <w:t xml:space="preserve">The study is based on anonymised secondary data, therefore, no ethical approval was required</w:t>
      </w:r>
    </w:p>
    <w:p>
      <w:r>
        <w:br w:type="page"/>
      </w:r>
    </w:p>
    <w:bookmarkEnd w:id="57"/>
    <w:bookmarkStart w:id="114" w:name="references"/>
    <w:p>
      <w:pPr>
        <w:pStyle w:val="Heading1"/>
      </w:pPr>
      <w:r>
        <w:t xml:space="preserve">References</w:t>
      </w:r>
    </w:p>
    <w:bookmarkStart w:id="113" w:name="refs"/>
    <w:bookmarkStart w:id="59" w:name="ref-olsen_decreased_2020"/>
    <w:p>
      <w:pPr>
        <w:pStyle w:val="Bibliography"/>
      </w:pPr>
      <w:r>
        <w:t xml:space="preserve">[1]</w:t>
      </w:r>
      <w:r>
        <w:t xml:space="preserve"> </w:t>
      </w:r>
      <w:r>
        <w:t xml:space="preserve">	</w:t>
      </w:r>
      <w:r>
        <w:t xml:space="preserve">S. J. Olsen</w:t>
      </w:r>
      <w:r>
        <w:t xml:space="preserve"> </w:t>
      </w:r>
      <w:r>
        <w:rPr>
          <w:i/>
          <w:iCs/>
        </w:rPr>
        <w:t xml:space="preserve">et al.</w:t>
      </w:r>
      <w:r>
        <w:t xml:space="preserve">,</w:t>
      </w:r>
      <w:r>
        <w:t xml:space="preserve"> </w:t>
      </w:r>
      <w:r>
        <w:t xml:space="preserve">“Decreased influenza activity during the</w:t>
      </w:r>
      <w:r>
        <w:t xml:space="preserve"> </w:t>
      </w:r>
      <w:r>
        <w:t xml:space="preserve">COVID</w:t>
      </w:r>
      <w:r>
        <w:t xml:space="preserve">-19 pandemic—</w:t>
      </w:r>
      <w:r>
        <w:t xml:space="preserve">United</w:t>
      </w:r>
      <w:r>
        <w:t xml:space="preserve"> </w:t>
      </w:r>
      <w:r>
        <w:t xml:space="preserve">States</w:t>
      </w:r>
      <w:r>
        <w:t xml:space="preserve">,</w:t>
      </w:r>
      <w:r>
        <w:t xml:space="preserve"> </w:t>
      </w:r>
      <w:r>
        <w:t xml:space="preserve">Australia</w:t>
      </w:r>
      <w:r>
        <w:t xml:space="preserve">,</w:t>
      </w:r>
      <w:r>
        <w:t xml:space="preserve"> </w:t>
      </w:r>
      <w:r>
        <w:t xml:space="preserve">Chile</w:t>
      </w:r>
      <w:r>
        <w:t xml:space="preserve">, and</w:t>
      </w:r>
      <w:r>
        <w:t xml:space="preserve"> </w:t>
      </w:r>
      <w:r>
        <w:t xml:space="preserve">South</w:t>
      </w:r>
      <w:r>
        <w:t xml:space="preserve"> </w:t>
      </w:r>
      <w:r>
        <w:t xml:space="preserve">Africa</w:t>
      </w:r>
      <w:r>
        <w:t xml:space="preserve">, 2020,”</w:t>
      </w:r>
      <w:r>
        <w:t xml:space="preserve"> </w:t>
      </w:r>
      <w:r>
        <w:rPr>
          <w:i/>
          <w:iCs/>
        </w:rPr>
        <w:t xml:space="preserve">American Journal of Transplantation</w:t>
      </w:r>
      <w:r>
        <w:t xml:space="preserve">, vol. 20, no. 12, pp. 3681–3685, Dec. 2020, doi:</w:t>
      </w:r>
      <w:r>
        <w:t xml:space="preserve"> </w:t>
      </w:r>
      <w:hyperlink r:id="rId58">
        <w:r>
          <w:rPr>
            <w:rStyle w:val="Hyperlink"/>
          </w:rPr>
          <w:t xml:space="preserve">10.1111/ajt.16381</w:t>
        </w:r>
      </w:hyperlink>
      <w:r>
        <w:t xml:space="preserve">.</w:t>
      </w:r>
    </w:p>
    <w:bookmarkEnd w:id="59"/>
    <w:bookmarkStart w:id="61" w:name="ref-lantos_impact_2024"/>
    <w:p>
      <w:pPr>
        <w:pStyle w:val="Bibliography"/>
      </w:pPr>
      <w:r>
        <w:t xml:space="preserve">[2]</w:t>
      </w:r>
      <w:r>
        <w:t xml:space="preserve"> </w:t>
      </w:r>
      <w:r>
        <w:t xml:space="preserve">	</w:t>
      </w:r>
      <w:r>
        <w:t xml:space="preserve">T. Lantos and T. A. Nyári,</w:t>
      </w:r>
      <w:r>
        <w:t xml:space="preserve"> </w:t>
      </w:r>
      <w:r>
        <w:t xml:space="preserve">“The impact of the first year of</w:t>
      </w:r>
      <w:r>
        <w:t xml:space="preserve"> </w:t>
      </w:r>
      <w:r>
        <w:t xml:space="preserve">COVID</w:t>
      </w:r>
      <w:r>
        <w:t xml:space="preserve">-19 pandemic on suicides in a collection of 27</w:t>
      </w:r>
      <w:r>
        <w:t xml:space="preserve"> </w:t>
      </w:r>
      <w:r>
        <w:t xml:space="preserve">EU</w:t>
      </w:r>
      <w:r>
        <w:t xml:space="preserve">-related countries,”</w:t>
      </w:r>
      <w:r>
        <w:t xml:space="preserve"> </w:t>
      </w:r>
      <w:r>
        <w:rPr>
          <w:i/>
          <w:iCs/>
        </w:rPr>
        <w:t xml:space="preserve">Scientific Reports</w:t>
      </w:r>
      <w:r>
        <w:t xml:space="preserve">, vol. 14, no. 1, p. 17671, Jul. 2024, doi:</w:t>
      </w:r>
      <w:r>
        <w:t xml:space="preserve"> </w:t>
      </w:r>
      <w:hyperlink r:id="rId60">
        <w:r>
          <w:rPr>
            <w:rStyle w:val="Hyperlink"/>
          </w:rPr>
          <w:t xml:space="preserve">10.1038/s41598-024-68604-3</w:t>
        </w:r>
      </w:hyperlink>
      <w:r>
        <w:t xml:space="preserve">.</w:t>
      </w:r>
    </w:p>
    <w:bookmarkEnd w:id="61"/>
    <w:bookmarkStart w:id="63" w:name="ref-maringe_impact_2020"/>
    <w:p>
      <w:pPr>
        <w:pStyle w:val="Bibliography"/>
      </w:pPr>
      <w:r>
        <w:t xml:space="preserve">[3]</w:t>
      </w:r>
      <w:r>
        <w:t xml:space="preserve"> </w:t>
      </w:r>
      <w:r>
        <w:t xml:space="preserve">	</w:t>
      </w:r>
      <w:r>
        <w:t xml:space="preserve">C. Maringe</w:t>
      </w:r>
      <w:r>
        <w:t xml:space="preserve"> </w:t>
      </w:r>
      <w:r>
        <w:rPr>
          <w:i/>
          <w:iCs/>
        </w:rPr>
        <w:t xml:space="preserve">et al.</w:t>
      </w:r>
      <w:r>
        <w:t xml:space="preserve">,</w:t>
      </w:r>
      <w:r>
        <w:t xml:space="preserve"> </w:t>
      </w:r>
      <w:r>
        <w:t xml:space="preserve">“The impact of the</w:t>
      </w:r>
      <w:r>
        <w:t xml:space="preserve"> </w:t>
      </w:r>
      <w:r>
        <w:t xml:space="preserve">COVID</w:t>
      </w:r>
      <w:r>
        <w:t xml:space="preserve">-19 pandemic on cancer deaths due to delays in diagnosis in</w:t>
      </w:r>
      <w:r>
        <w:t xml:space="preserve"> </w:t>
      </w:r>
      <w:r>
        <w:t xml:space="preserve">England</w:t>
      </w:r>
      <w:r>
        <w:t xml:space="preserve">,</w:t>
      </w:r>
      <w:r>
        <w:t xml:space="preserve"> </w:t>
      </w:r>
      <w:r>
        <w:t xml:space="preserve">UK</w:t>
      </w:r>
      <w:r>
        <w:t xml:space="preserve">: A national, population-based, modelling study,”</w:t>
      </w:r>
      <w:r>
        <w:t xml:space="preserve"> </w:t>
      </w:r>
      <w:r>
        <w:rPr>
          <w:i/>
          <w:iCs/>
        </w:rPr>
        <w:t xml:space="preserve">The Lancet. Oncology</w:t>
      </w:r>
      <w:r>
        <w:t xml:space="preserve">, vol. 21, no. 8, pp. 1023–1034, Aug. 2020, doi:</w:t>
      </w:r>
      <w:r>
        <w:t xml:space="preserve"> </w:t>
      </w:r>
      <w:hyperlink r:id="rId62">
        <w:r>
          <w:rPr>
            <w:rStyle w:val="Hyperlink"/>
          </w:rPr>
          <w:t xml:space="preserve">10.1016/S1470-2045(20)30388-0</w:t>
        </w:r>
      </w:hyperlink>
      <w:r>
        <w:t xml:space="preserve">.</w:t>
      </w:r>
    </w:p>
    <w:bookmarkEnd w:id="63"/>
    <w:bookmarkStart w:id="65" w:name="ref-han_excess_2023"/>
    <w:p>
      <w:pPr>
        <w:pStyle w:val="Bibliography"/>
      </w:pPr>
      <w:r>
        <w:t xml:space="preserve">[4]</w:t>
      </w:r>
      <w:r>
        <w:t xml:space="preserve"> </w:t>
      </w:r>
      <w:r>
        <w:t xml:space="preserve">	</w:t>
      </w:r>
      <w:r>
        <w:t xml:space="preserve">L. Han</w:t>
      </w:r>
      <w:r>
        <w:t xml:space="preserve"> </w:t>
      </w:r>
      <w:r>
        <w:rPr>
          <w:i/>
          <w:iCs/>
        </w:rPr>
        <w:t xml:space="preserve">et al.</w:t>
      </w:r>
      <w:r>
        <w:t xml:space="preserve">,</w:t>
      </w:r>
      <w:r>
        <w:t xml:space="preserve"> </w:t>
      </w:r>
      <w:r>
        <w:t xml:space="preserve">“Excess cardiovascular mortality across multiple</w:t>
      </w:r>
      <w:r>
        <w:t xml:space="preserve"> </w:t>
      </w:r>
      <w:r>
        <w:t xml:space="preserve">COVID</w:t>
      </w:r>
      <w:r>
        <w:t xml:space="preserve">-19 waves in the</w:t>
      </w:r>
      <w:r>
        <w:t xml:space="preserve"> </w:t>
      </w:r>
      <w:r>
        <w:t xml:space="preserve">United</w:t>
      </w:r>
      <w:r>
        <w:t xml:space="preserve"> </w:t>
      </w:r>
      <w:r>
        <w:t xml:space="preserve">States</w:t>
      </w:r>
      <w:r>
        <w:t xml:space="preserve"> </w:t>
      </w:r>
      <w:r>
        <w:t xml:space="preserve">from</w:t>
      </w:r>
      <w:r>
        <w:t xml:space="preserve"> </w:t>
      </w:r>
      <w:r>
        <w:t xml:space="preserve">March</w:t>
      </w:r>
      <w:r>
        <w:t xml:space="preserve"> </w:t>
      </w:r>
      <w:r>
        <w:t xml:space="preserve">2020 to</w:t>
      </w:r>
      <w:r>
        <w:t xml:space="preserve"> </w:t>
      </w:r>
      <w:r>
        <w:t xml:space="preserve">March</w:t>
      </w:r>
      <w:r>
        <w:t xml:space="preserve"> </w:t>
      </w:r>
      <w:r>
        <w:t xml:space="preserve">2022,”</w:t>
      </w:r>
      <w:r>
        <w:t xml:space="preserve"> </w:t>
      </w:r>
      <w:r>
        <w:rPr>
          <w:i/>
          <w:iCs/>
        </w:rPr>
        <w:t xml:space="preserve">Nature Cardiovascular Research</w:t>
      </w:r>
      <w:r>
        <w:t xml:space="preserve">, vol. 2, no. 3, pp. 322–333, Mar. 2023, doi:</w:t>
      </w:r>
      <w:r>
        <w:t xml:space="preserve"> </w:t>
      </w:r>
      <w:hyperlink r:id="rId64">
        <w:r>
          <w:rPr>
            <w:rStyle w:val="Hyperlink"/>
          </w:rPr>
          <w:t xml:space="preserve">10.1038/s44161-023-00220-2</w:t>
        </w:r>
      </w:hyperlink>
      <w:r>
        <w:t xml:space="preserve">.</w:t>
      </w:r>
    </w:p>
    <w:bookmarkEnd w:id="65"/>
    <w:bookmarkStart w:id="67" w:name="ref-holleyman_adjusting_2023"/>
    <w:p>
      <w:pPr>
        <w:pStyle w:val="Bibliography"/>
      </w:pPr>
      <w:r>
        <w:t xml:space="preserve">[5]</w:t>
      </w:r>
      <w:r>
        <w:t xml:space="preserve"> </w:t>
      </w:r>
      <w:r>
        <w:t xml:space="preserve">	</w:t>
      </w:r>
      <w:r>
        <w:t xml:space="preserve">R. J. Holleyman</w:t>
      </w:r>
      <w:r>
        <w:t xml:space="preserve"> </w:t>
      </w:r>
      <w:r>
        <w:rPr>
          <w:i/>
          <w:iCs/>
        </w:rPr>
        <w:t xml:space="preserve">et al.</w:t>
      </w:r>
      <w:r>
        <w:t xml:space="preserve">,</w:t>
      </w:r>
      <w:r>
        <w:t xml:space="preserve"> </w:t>
      </w:r>
      <w:r>
        <w:t xml:space="preserve">“Adjusting expected deaths for mortality displacement during the</w:t>
      </w:r>
      <w:r>
        <w:t xml:space="preserve"> </w:t>
      </w:r>
      <w:r>
        <w:t xml:space="preserve">COVID</w:t>
      </w:r>
      <w:r>
        <w:t xml:space="preserve">-19 pandemic: A model based counterfactual approach at the level of individuals,”</w:t>
      </w:r>
      <w:r>
        <w:t xml:space="preserve"> </w:t>
      </w:r>
      <w:r>
        <w:rPr>
          <w:i/>
          <w:iCs/>
        </w:rPr>
        <w:t xml:space="preserve">BMC medical research methodology</w:t>
      </w:r>
      <w:r>
        <w:t xml:space="preserve">, vol. 23, no. 1, p. 241, Oct. 2023, doi:</w:t>
      </w:r>
      <w:r>
        <w:t xml:space="preserve"> </w:t>
      </w:r>
      <w:hyperlink r:id="rId66">
        <w:r>
          <w:rPr>
            <w:rStyle w:val="Hyperlink"/>
          </w:rPr>
          <w:t xml:space="preserve">10.1186/s12874-023-01984-8</w:t>
        </w:r>
      </w:hyperlink>
      <w:r>
        <w:t xml:space="preserve">.</w:t>
      </w:r>
    </w:p>
    <w:bookmarkEnd w:id="67"/>
    <w:bookmarkStart w:id="69" w:name="ref-riou_direct_2023"/>
    <w:p>
      <w:pPr>
        <w:pStyle w:val="Bibliography"/>
      </w:pPr>
      <w:r>
        <w:t xml:space="preserve">[6]</w:t>
      </w:r>
      <w:r>
        <w:t xml:space="preserve"> </w:t>
      </w:r>
      <w:r>
        <w:t xml:space="preserve">	</w:t>
      </w:r>
      <w:r>
        <w:t xml:space="preserve">J. Riou, A. Hauser, A. Fesser, C. L. Althaus, M. Egger, and G. Konstantinoudis,</w:t>
      </w:r>
      <w:r>
        <w:t xml:space="preserve"> </w:t>
      </w:r>
      <w:r>
        <w:t xml:space="preserve">“Direct and indirect effects of the</w:t>
      </w:r>
      <w:r>
        <w:t xml:space="preserve"> </w:t>
      </w:r>
      <w:r>
        <w:t xml:space="preserve">COVID</w:t>
      </w:r>
      <w:r>
        <w:t xml:space="preserve">-19 pandemic on mortality in</w:t>
      </w:r>
      <w:r>
        <w:t xml:space="preserve"> </w:t>
      </w:r>
      <w:r>
        <w:t xml:space="preserve">Switzerland</w:t>
      </w:r>
      <w:r>
        <w:t xml:space="preserve">,”</w:t>
      </w:r>
      <w:r>
        <w:t xml:space="preserve"> </w:t>
      </w:r>
      <w:r>
        <w:rPr>
          <w:i/>
          <w:iCs/>
        </w:rPr>
        <w:t xml:space="preserve">Nature Communications</w:t>
      </w:r>
      <w:r>
        <w:t xml:space="preserve">, vol. 14, p. 90, Jan. 2023, doi:</w:t>
      </w:r>
      <w:r>
        <w:t xml:space="preserve"> </w:t>
      </w:r>
      <w:hyperlink r:id="rId68">
        <w:r>
          <w:rPr>
            <w:rStyle w:val="Hyperlink"/>
          </w:rPr>
          <w:t xml:space="preserve">10.1038/s41467-022-35770-9</w:t>
        </w:r>
      </w:hyperlink>
      <w:r>
        <w:t xml:space="preserve">.</w:t>
      </w:r>
    </w:p>
    <w:bookmarkEnd w:id="69"/>
    <w:bookmarkStart w:id="71" w:name="ref-beaney_excess_2020"/>
    <w:p>
      <w:pPr>
        <w:pStyle w:val="Bibliography"/>
      </w:pPr>
      <w:r>
        <w:t xml:space="preserve">[7]</w:t>
      </w:r>
      <w:r>
        <w:t xml:space="preserve"> </w:t>
      </w:r>
      <w:r>
        <w:t xml:space="preserve">	</w:t>
      </w:r>
      <w:r>
        <w:t xml:space="preserve">T. Beaney</w:t>
      </w:r>
      <w:r>
        <w:t xml:space="preserve"> </w:t>
      </w:r>
      <w:r>
        <w:rPr>
          <w:i/>
          <w:iCs/>
        </w:rPr>
        <w:t xml:space="preserve">et al.</w:t>
      </w:r>
      <w:r>
        <w:t xml:space="preserve">,</w:t>
      </w:r>
      <w:r>
        <w:t xml:space="preserve"> </w:t>
      </w:r>
      <w:r>
        <w:t xml:space="preserve">“Excess mortality: The gold standard in measuring the impact of</w:t>
      </w:r>
      <w:r>
        <w:t xml:space="preserve"> </w:t>
      </w:r>
      <w:r>
        <w:t xml:space="preserve">COVID</w:t>
      </w:r>
      <w:r>
        <w:t xml:space="preserve">-19 worldwide?”</w:t>
      </w:r>
      <w:r>
        <w:t xml:space="preserve"> </w:t>
      </w:r>
      <w:r>
        <w:rPr>
          <w:i/>
          <w:iCs/>
        </w:rPr>
        <w:t xml:space="preserve">Journal of the Royal Society of Medicine</w:t>
      </w:r>
      <w:r>
        <w:t xml:space="preserve">, vol. 113, no. 9, pp. 329–334, Sep. 2020, doi:</w:t>
      </w:r>
      <w:r>
        <w:t xml:space="preserve"> </w:t>
      </w:r>
      <w:hyperlink r:id="rId70">
        <w:r>
          <w:rPr>
            <w:rStyle w:val="Hyperlink"/>
          </w:rPr>
          <w:t xml:space="preserve">10.1177/0141076820956802</w:t>
        </w:r>
      </w:hyperlink>
      <w:r>
        <w:t xml:space="preserve">.</w:t>
      </w:r>
    </w:p>
    <w:bookmarkEnd w:id="71"/>
    <w:bookmarkStart w:id="73" w:name="ref-huynh_joint_2024"/>
    <w:p>
      <w:pPr>
        <w:pStyle w:val="Bibliography"/>
      </w:pPr>
      <w:r>
        <w:t xml:space="preserve">[8]</w:t>
      </w:r>
      <w:r>
        <w:t xml:space="preserve"> </w:t>
      </w:r>
      <w:r>
        <w:t xml:space="preserve">	</w:t>
      </w:r>
      <w:r>
        <w:t xml:space="preserve">N. Huynh and M. Ludkovski,</w:t>
      </w:r>
      <w:r>
        <w:t xml:space="preserve"> </w:t>
      </w:r>
      <w:r>
        <w:t xml:space="preserve">“Joint models for cause-of-death mortality in multiple populations,”</w:t>
      </w:r>
      <w:r>
        <w:t xml:space="preserve"> </w:t>
      </w:r>
      <w:r>
        <w:rPr>
          <w:i/>
          <w:iCs/>
        </w:rPr>
        <w:t xml:space="preserve">Annals of Actuarial Science</w:t>
      </w:r>
      <w:r>
        <w:t xml:space="preserve">, vol. 18, no. 1, pp. 51–77, Mar. 2024, doi:</w:t>
      </w:r>
      <w:r>
        <w:t xml:space="preserve"> </w:t>
      </w:r>
      <w:hyperlink r:id="rId72">
        <w:r>
          <w:rPr>
            <w:rStyle w:val="Hyperlink"/>
          </w:rPr>
          <w:t xml:space="preserve">10.1017/S1748499523000118</w:t>
        </w:r>
      </w:hyperlink>
      <w:r>
        <w:t xml:space="preserve">.</w:t>
      </w:r>
    </w:p>
    <w:bookmarkEnd w:id="73"/>
    <w:bookmarkStart w:id="75" w:name="ref-pizzato_relationship_2025"/>
    <w:p>
      <w:pPr>
        <w:pStyle w:val="Bibliography"/>
      </w:pPr>
      <w:r>
        <w:t xml:space="preserve">[9]</w:t>
      </w:r>
      <w:r>
        <w:t xml:space="preserve"> </w:t>
      </w:r>
      <w:r>
        <w:t xml:space="preserve">	</w:t>
      </w:r>
      <w:r>
        <w:t xml:space="preserve">M. Pizzato, C. Santucci, N. Islam, C. La Vecchia, and G. Alicandro,</w:t>
      </w:r>
      <w:r>
        <w:t xml:space="preserve"> </w:t>
      </w:r>
      <w:r>
        <w:t xml:space="preserve">“Relationship between</w:t>
      </w:r>
      <w:r>
        <w:t xml:space="preserve"> </w:t>
      </w:r>
      <w:r>
        <w:t xml:space="preserve">COVID</w:t>
      </w:r>
      <w:r>
        <w:t xml:space="preserve">-19 cases and monthly mortality from all causes, cancer, cardiovascular diseases and diabetes in 16 countries, 2020–21,”</w:t>
      </w:r>
      <w:r>
        <w:t xml:space="preserve"> </w:t>
      </w:r>
      <w:r>
        <w:rPr>
          <w:i/>
          <w:iCs/>
        </w:rPr>
        <w:t xml:space="preserve">International Journal of Epidemiology</w:t>
      </w:r>
      <w:r>
        <w:t xml:space="preserve">, vol. 54, no. 1, p. dyaf006, Feb. 2025, doi:</w:t>
      </w:r>
      <w:r>
        <w:t xml:space="preserve"> </w:t>
      </w:r>
      <w:hyperlink r:id="rId74">
        <w:r>
          <w:rPr>
            <w:rStyle w:val="Hyperlink"/>
          </w:rPr>
          <w:t xml:space="preserve">10.1093/ije/dyaf006</w:t>
        </w:r>
      </w:hyperlink>
      <w:r>
        <w:t xml:space="preserve">.</w:t>
      </w:r>
    </w:p>
    <w:bookmarkEnd w:id="75"/>
    <w:bookmarkStart w:id="76" w:name="ref-paglino_cause-specific_2024"/>
    <w:p>
      <w:pPr>
        <w:pStyle w:val="Bibliography"/>
      </w:pPr>
      <w:r>
        <w:t xml:space="preserve">[10]</w:t>
      </w:r>
      <w:r>
        <w:t xml:space="preserve"> </w:t>
      </w:r>
      <w:r>
        <w:t xml:space="preserve">	</w:t>
      </w:r>
      <w:r>
        <w:t xml:space="preserve">E. Paglino,</w:t>
      </w:r>
      <w:r>
        <w:t xml:space="preserve"> </w:t>
      </w:r>
      <w:r>
        <w:t xml:space="preserve">“Cause-</w:t>
      </w:r>
      <w:r>
        <w:t xml:space="preserve">Specific</w:t>
      </w:r>
      <w:r>
        <w:t xml:space="preserve"> </w:t>
      </w:r>
      <w:r>
        <w:t xml:space="preserve">Excess</w:t>
      </w:r>
      <w:r>
        <w:t xml:space="preserve"> </w:t>
      </w:r>
      <w:r>
        <w:t xml:space="preserve">Mortality</w:t>
      </w:r>
      <w:r>
        <w:t xml:space="preserve"> </w:t>
      </w:r>
      <w:r>
        <w:t xml:space="preserve">During</w:t>
      </w:r>
      <w:r>
        <w:t xml:space="preserve"> </w:t>
      </w:r>
      <w:r>
        <w:t xml:space="preserve">the</w:t>
      </w:r>
      <w:r>
        <w:t xml:space="preserve"> </w:t>
      </w:r>
      <w:r>
        <w:t xml:space="preserve">COVID</w:t>
      </w:r>
      <w:r>
        <w:t xml:space="preserve">-19</w:t>
      </w:r>
      <w:r>
        <w:t xml:space="preserve"> </w:t>
      </w:r>
      <w:r>
        <w:t xml:space="preserve">Pandemic</w:t>
      </w:r>
      <w:r>
        <w:t xml:space="preserve">,”</w:t>
      </w:r>
      <w:r>
        <w:t xml:space="preserve"> </w:t>
      </w:r>
      <w:r>
        <w:t xml:space="preserve">2024.</w:t>
      </w:r>
    </w:p>
    <w:bookmarkEnd w:id="76"/>
    <w:bookmarkStart w:id="78" w:name="ref-beeks_cause-specific_2024"/>
    <w:p>
      <w:pPr>
        <w:pStyle w:val="Bibliography"/>
      </w:pPr>
      <w:r>
        <w:t xml:space="preserve">[11]</w:t>
      </w:r>
      <w:r>
        <w:t xml:space="preserve"> </w:t>
      </w:r>
      <w:r>
        <w:t xml:space="preserve">	</w:t>
      </w:r>
      <w:r>
        <w:t xml:space="preserve">V. V. Beeks</w:t>
      </w:r>
      <w:r>
        <w:t xml:space="preserve"> </w:t>
      </w:r>
      <w:r>
        <w:rPr>
          <w:i/>
          <w:iCs/>
        </w:rPr>
        <w:t xml:space="preserve">et al.</w:t>
      </w:r>
      <w:r>
        <w:t xml:space="preserve">,</w:t>
      </w:r>
      <w:r>
        <w:t xml:space="preserve"> </w:t>
      </w:r>
      <w:r>
        <w:t xml:space="preserve">“Cause-</w:t>
      </w:r>
      <w:r>
        <w:t xml:space="preserve">Specific</w:t>
      </w:r>
      <w:r>
        <w:t xml:space="preserve"> </w:t>
      </w:r>
      <w:r>
        <w:t xml:space="preserve">Excess</w:t>
      </w:r>
      <w:r>
        <w:t xml:space="preserve"> </w:t>
      </w:r>
      <w:r>
        <w:t xml:space="preserve">Mortality</w:t>
      </w:r>
      <w:r>
        <w:t xml:space="preserve"> </w:t>
      </w:r>
      <w:r>
        <w:t xml:space="preserve">During</w:t>
      </w:r>
      <w:r>
        <w:t xml:space="preserve"> </w:t>
      </w:r>
      <w:r>
        <w:t xml:space="preserve">the</w:t>
      </w:r>
      <w:r>
        <w:t xml:space="preserve"> </w:t>
      </w:r>
      <w:r>
        <w:t xml:space="preserve">COVID</w:t>
      </w:r>
      <w:r>
        <w:t xml:space="preserve">-19</w:t>
      </w:r>
      <w:r>
        <w:t xml:space="preserve"> </w:t>
      </w:r>
      <w:r>
        <w:t xml:space="preserve">Pandemic</w:t>
      </w:r>
      <w:r>
        <w:t xml:space="preserve"> </w:t>
      </w:r>
      <w:r>
        <w:t xml:space="preserve">(2020–2021) in 12</w:t>
      </w:r>
      <w:r>
        <w:t xml:space="preserve"> </w:t>
      </w:r>
      <w:r>
        <w:t xml:space="preserve">Countries</w:t>
      </w:r>
      <w:r>
        <w:t xml:space="preserve"> </w:t>
      </w:r>
      <w:r>
        <w:t xml:space="preserve">of the</w:t>
      </w:r>
      <w:r>
        <w:t xml:space="preserve"> </w:t>
      </w:r>
      <w:r>
        <w:t xml:space="preserve">C</w:t>
      </w:r>
      <w:r>
        <w:t xml:space="preserve">-</w:t>
      </w:r>
      <w:r>
        <w:t xml:space="preserve">MOR</w:t>
      </w:r>
      <w:r>
        <w:t xml:space="preserve"> </w:t>
      </w:r>
      <w:r>
        <w:t xml:space="preserve">Consortium</w:t>
      </w:r>
      <w:r>
        <w:t xml:space="preserve">,”</w:t>
      </w:r>
      <w:r>
        <w:t xml:space="preserve"> </w:t>
      </w:r>
      <w:r>
        <w:rPr>
          <w:i/>
          <w:iCs/>
        </w:rPr>
        <w:t xml:space="preserve">Journal of Epidemiology and Global Health</w:t>
      </w:r>
      <w:r>
        <w:t xml:space="preserve">, vol. 14, no. 2, pp. 337–348, Jun. 2024, doi:</w:t>
      </w:r>
      <w:r>
        <w:t xml:space="preserve"> </w:t>
      </w:r>
      <w:hyperlink r:id="rId77">
        <w:r>
          <w:rPr>
            <w:rStyle w:val="Hyperlink"/>
          </w:rPr>
          <w:t xml:space="preserve">10.1007/s44197-024-00242-4</w:t>
        </w:r>
      </w:hyperlink>
      <w:r>
        <w:t xml:space="preserve">.</w:t>
      </w:r>
    </w:p>
    <w:bookmarkEnd w:id="78"/>
    <w:bookmarkStart w:id="80" w:name="ref-nilsson_cause-specific_2024"/>
    <w:p>
      <w:pPr>
        <w:pStyle w:val="Bibliography"/>
      </w:pPr>
      <w:r>
        <w:t xml:space="preserve">[12]</w:t>
      </w:r>
      <w:r>
        <w:t xml:space="preserve"> </w:t>
      </w:r>
      <w:r>
        <w:t xml:space="preserve">	</w:t>
      </w:r>
      <w:r>
        <w:t xml:space="preserve">A. Nilsson</w:t>
      </w:r>
      <w:r>
        <w:t xml:space="preserve"> </w:t>
      </w:r>
      <w:r>
        <w:rPr>
          <w:i/>
          <w:iCs/>
        </w:rPr>
        <w:t xml:space="preserve">et al.</w:t>
      </w:r>
      <w:r>
        <w:t xml:space="preserve">,</w:t>
      </w:r>
      <w:r>
        <w:t xml:space="preserve"> </w:t>
      </w:r>
      <w:r>
        <w:t xml:space="preserve">“Cause-specific excess mortality in</w:t>
      </w:r>
      <w:r>
        <w:t xml:space="preserve"> </w:t>
      </w:r>
      <w:r>
        <w:t xml:space="preserve">Denmark</w:t>
      </w:r>
      <w:r>
        <w:t xml:space="preserve">,</w:t>
      </w:r>
      <w:r>
        <w:t xml:space="preserve"> </w:t>
      </w:r>
      <w:r>
        <w:t xml:space="preserve">Finland</w:t>
      </w:r>
      <w:r>
        <w:t xml:space="preserve">,</w:t>
      </w:r>
      <w:r>
        <w:t xml:space="preserve"> </w:t>
      </w:r>
      <w:r>
        <w:t xml:space="preserve">Norway</w:t>
      </w:r>
      <w:r>
        <w:t xml:space="preserve">, and</w:t>
      </w:r>
      <w:r>
        <w:t xml:space="preserve"> </w:t>
      </w:r>
      <w:r>
        <w:t xml:space="preserve">Sweden</w:t>
      </w:r>
      <w:r>
        <w:t xml:space="preserve"> </w:t>
      </w:r>
      <w:r>
        <w:t xml:space="preserve">during the</w:t>
      </w:r>
      <w:r>
        <w:t xml:space="preserve"> </w:t>
      </w:r>
      <w:r>
        <w:t xml:space="preserve">COVID</w:t>
      </w:r>
      <w:r>
        <w:t xml:space="preserve">-19 pandemic 2020–2022: A study using nationwide population data,”</w:t>
      </w:r>
      <w:r>
        <w:t xml:space="preserve"> </w:t>
      </w:r>
      <w:r>
        <w:rPr>
          <w:i/>
          <w:iCs/>
        </w:rPr>
        <w:t xml:space="preserve">European Journal of Epidemiology</w:t>
      </w:r>
      <w:r>
        <w:t xml:space="preserve">, vol. 39, no. 9, pp. 1037–1050, 2024, doi:</w:t>
      </w:r>
      <w:r>
        <w:t xml:space="preserve"> </w:t>
      </w:r>
      <w:hyperlink r:id="rId79">
        <w:r>
          <w:rPr>
            <w:rStyle w:val="Hyperlink"/>
          </w:rPr>
          <w:t xml:space="preserve">10.1007/s10654-024-01154-0</w:t>
        </w:r>
      </w:hyperlink>
      <w:r>
        <w:t xml:space="preserve">.</w:t>
      </w:r>
    </w:p>
    <w:bookmarkEnd w:id="80"/>
    <w:bookmarkStart w:id="82" w:name="ref-luck_associations_2023"/>
    <w:p>
      <w:pPr>
        <w:pStyle w:val="Bibliography"/>
      </w:pPr>
      <w:r>
        <w:t xml:space="preserve">[13]</w:t>
      </w:r>
      <w:r>
        <w:t xml:space="preserve"> </w:t>
      </w:r>
      <w:r>
        <w:t xml:space="preserve">	</w:t>
      </w:r>
      <w:r>
        <w:t xml:space="preserve">A. N. Luck, A. C. Stokes, K. Hempstead, E. Paglino, and S. H. Preston,</w:t>
      </w:r>
      <w:r>
        <w:t xml:space="preserve"> </w:t>
      </w:r>
      <w:r>
        <w:t xml:space="preserve">“Associations between mortality from</w:t>
      </w:r>
      <w:r>
        <w:t xml:space="preserve"> </w:t>
      </w:r>
      <w:r>
        <w:t xml:space="preserve">COVID</w:t>
      </w:r>
      <w:r>
        <w:t xml:space="preserve">-19 and other causes:</w:t>
      </w:r>
      <w:r>
        <w:t xml:space="preserve"> </w:t>
      </w:r>
      <w:r>
        <w:t xml:space="preserve">A</w:t>
      </w:r>
      <w:r>
        <w:t xml:space="preserve"> </w:t>
      </w:r>
      <w:r>
        <w:t xml:space="preserve">state-level analysis,”</w:t>
      </w:r>
      <w:r>
        <w:t xml:space="preserve"> </w:t>
      </w:r>
      <w:r>
        <w:rPr>
          <w:i/>
          <w:iCs/>
        </w:rPr>
        <w:t xml:space="preserve">PLOS ONE</w:t>
      </w:r>
      <w:r>
        <w:t xml:space="preserve">, vol. 18, no. 3, p. e0281683, Mar. 2023, doi:</w:t>
      </w:r>
      <w:r>
        <w:t xml:space="preserve"> </w:t>
      </w:r>
      <w:hyperlink r:id="rId81">
        <w:r>
          <w:rPr>
            <w:rStyle w:val="Hyperlink"/>
          </w:rPr>
          <w:t xml:space="preserve">10.1371/journal.pone.0281683</w:t>
        </w:r>
      </w:hyperlink>
      <w:r>
        <w:t xml:space="preserve">.</w:t>
      </w:r>
    </w:p>
    <w:bookmarkEnd w:id="82"/>
    <w:bookmarkStart w:id="84" w:name="ref-weitkunat_mortality_2021"/>
    <w:p>
      <w:pPr>
        <w:pStyle w:val="Bibliography"/>
      </w:pPr>
      <w:r>
        <w:t xml:space="preserve">[14]</w:t>
      </w:r>
      <w:r>
        <w:t xml:space="preserve"> </w:t>
      </w:r>
      <w:r>
        <w:t xml:space="preserve">	</w:t>
      </w:r>
      <w:r>
        <w:t xml:space="preserve">R. Weitkunat, C. Junker, S. Caviezel, and K. Fehst,</w:t>
      </w:r>
      <w:r>
        <w:t xml:space="preserve"> </w:t>
      </w:r>
      <w:r>
        <w:t xml:space="preserve">“Mortality monitoring in</w:t>
      </w:r>
      <w:r>
        <w:t xml:space="preserve"> </w:t>
      </w:r>
      <w:r>
        <w:t xml:space="preserve">Switzerland</w:t>
      </w:r>
      <w:r>
        <w:t xml:space="preserve">,”</w:t>
      </w:r>
      <w:r>
        <w:t xml:space="preserve"> </w:t>
      </w:r>
      <w:r>
        <w:rPr>
          <w:i/>
          <w:iCs/>
        </w:rPr>
        <w:t xml:space="preserve">Swiss Medical Weekly</w:t>
      </w:r>
      <w:r>
        <w:t xml:space="preserve">, vol. 151, no. 3738, pp. w30030–w30030, Sep. 2021, doi:</w:t>
      </w:r>
      <w:r>
        <w:t xml:space="preserve"> </w:t>
      </w:r>
      <w:hyperlink r:id="rId83">
        <w:r>
          <w:rPr>
            <w:rStyle w:val="Hyperlink"/>
          </w:rPr>
          <w:t xml:space="preserve">10.4414/SMW.2021.w30030</w:t>
        </w:r>
      </w:hyperlink>
      <w:r>
        <w:t xml:space="preserve">.</w:t>
      </w:r>
    </w:p>
    <w:bookmarkEnd w:id="84"/>
    <w:bookmarkStart w:id="86" w:name="ref-cai_three-year_2024"/>
    <w:p>
      <w:pPr>
        <w:pStyle w:val="Bibliography"/>
      </w:pPr>
      <w:r>
        <w:t xml:space="preserve">[15]</w:t>
      </w:r>
      <w:r>
        <w:t xml:space="preserve"> </w:t>
      </w:r>
      <w:r>
        <w:t xml:space="preserve">	</w:t>
      </w:r>
      <w:r>
        <w:t xml:space="preserve">M. Cai, Y. Xie, E. J. Topol, and Z. Al-Aly,</w:t>
      </w:r>
      <w:r>
        <w:t xml:space="preserve"> </w:t>
      </w:r>
      <w:r>
        <w:t xml:space="preserve">“Three-year outcomes of post-acute sequelae of</w:t>
      </w:r>
      <w:r>
        <w:t xml:space="preserve"> </w:t>
      </w:r>
      <w:r>
        <w:t xml:space="preserve">COVID</w:t>
      </w:r>
      <w:r>
        <w:t xml:space="preserve">-19,”</w:t>
      </w:r>
      <w:r>
        <w:t xml:space="preserve"> </w:t>
      </w:r>
      <w:r>
        <w:rPr>
          <w:i/>
          <w:iCs/>
        </w:rPr>
        <w:t xml:space="preserve">Nature Medicine</w:t>
      </w:r>
      <w:r>
        <w:t xml:space="preserve">, vol. 30, no. 6, pp. 1564–1573, Jun. 2024, doi:</w:t>
      </w:r>
      <w:r>
        <w:t xml:space="preserve"> </w:t>
      </w:r>
      <w:hyperlink r:id="rId85">
        <w:r>
          <w:rPr>
            <w:rStyle w:val="Hyperlink"/>
          </w:rPr>
          <w:t xml:space="preserve">10.1038/s41591-024-02987-8</w:t>
        </w:r>
      </w:hyperlink>
      <w:r>
        <w:t xml:space="preserve">.</w:t>
      </w:r>
    </w:p>
    <w:bookmarkEnd w:id="86"/>
    <w:bookmarkStart w:id="88" w:name="ref-xie_long-term_2022"/>
    <w:p>
      <w:pPr>
        <w:pStyle w:val="Bibliography"/>
      </w:pPr>
      <w:r>
        <w:t xml:space="preserve">[16]</w:t>
      </w:r>
      <w:r>
        <w:t xml:space="preserve"> </w:t>
      </w:r>
      <w:r>
        <w:t xml:space="preserve">	</w:t>
      </w:r>
      <w:r>
        <w:t xml:space="preserve">Y. Xie, E. Xu, B. Bowe, and Z. Al-Aly,</w:t>
      </w:r>
      <w:r>
        <w:t xml:space="preserve"> </w:t>
      </w:r>
      <w:r>
        <w:t xml:space="preserve">“Long-term cardiovascular outcomes of</w:t>
      </w:r>
      <w:r>
        <w:t xml:space="preserve"> </w:t>
      </w:r>
      <w:r>
        <w:t xml:space="preserve">COVID</w:t>
      </w:r>
      <w:r>
        <w:t xml:space="preserve">-19,”</w:t>
      </w:r>
      <w:r>
        <w:t xml:space="preserve"> </w:t>
      </w:r>
      <w:r>
        <w:rPr>
          <w:i/>
          <w:iCs/>
        </w:rPr>
        <w:t xml:space="preserve">Nature Medicine</w:t>
      </w:r>
      <w:r>
        <w:t xml:space="preserve">, vol. 28, no. 3, pp. 583–590, 2022, doi:</w:t>
      </w:r>
      <w:r>
        <w:t xml:space="preserve"> </w:t>
      </w:r>
      <w:hyperlink r:id="rId87">
        <w:r>
          <w:rPr>
            <w:rStyle w:val="Hyperlink"/>
          </w:rPr>
          <w:t xml:space="preserve">10.1038/s41591-022-01689-3</w:t>
        </w:r>
      </w:hyperlink>
      <w:r>
        <w:t xml:space="preserve">.</w:t>
      </w:r>
    </w:p>
    <w:bookmarkEnd w:id="88"/>
    <w:bookmarkStart w:id="89" w:name="Xa64b14668c31051f82d307ce3ff528ea10a2cb9"/>
    <w:p>
      <w:pPr>
        <w:pStyle w:val="Bibliography"/>
      </w:pPr>
      <w:r>
        <w:t xml:space="preserve">[17]</w:t>
      </w:r>
      <w:r>
        <w:t xml:space="preserve"> </w:t>
      </w:r>
      <w:r>
        <w:t xml:space="preserve">	</w:t>
      </w:r>
      <w:r>
        <w:t xml:space="preserve">B. H. Foundation,</w:t>
      </w:r>
      <w:r>
        <w:t xml:space="preserve"> </w:t>
      </w:r>
      <w:r>
        <w:t xml:space="preserve">“Excess deaths involving</w:t>
      </w:r>
      <w:r>
        <w:t xml:space="preserve"> </w:t>
      </w:r>
      <w:r>
        <w:t xml:space="preserve">CVD</w:t>
      </w:r>
      <w:r>
        <w:t xml:space="preserve"> </w:t>
      </w:r>
      <w:r>
        <w:t xml:space="preserve">in</w:t>
      </w:r>
      <w:r>
        <w:t xml:space="preserve"> </w:t>
      </w:r>
      <w:r>
        <w:t xml:space="preserve">England</w:t>
      </w:r>
      <w:r>
        <w:t xml:space="preserve"> </w:t>
      </w:r>
      <w:r>
        <w:t xml:space="preserve">since the onset of the</w:t>
      </w:r>
      <w:r>
        <w:t xml:space="preserve"> </w:t>
      </w:r>
      <w:r>
        <w:t xml:space="preserve">Covid</w:t>
      </w:r>
      <w:r>
        <w:t xml:space="preserve">-19 pandemic: An analysis and explainer.”</w:t>
      </w:r>
    </w:p>
    <w:bookmarkEnd w:id="89"/>
    <w:bookmarkStart w:id="91" w:name="ref-hansen_disentangling_2024"/>
    <w:p>
      <w:pPr>
        <w:pStyle w:val="Bibliography"/>
      </w:pPr>
      <w:r>
        <w:t xml:space="preserve">[18]</w:t>
      </w:r>
      <w:r>
        <w:t xml:space="preserve"> </w:t>
      </w:r>
      <w:r>
        <w:t xml:space="preserve">	</w:t>
      </w:r>
      <w:r>
        <w:t xml:space="preserve">C. L. Hansen, C. Viboud, and L. Simonsen,</w:t>
      </w:r>
      <w:r>
        <w:t xml:space="preserve"> </w:t>
      </w:r>
      <w:r>
        <w:t xml:space="preserve">“Disentangling the relationship between cancer mortality and</w:t>
      </w:r>
      <w:r>
        <w:t xml:space="preserve"> </w:t>
      </w:r>
      <w:r>
        <w:t xml:space="preserve">COVID</w:t>
      </w:r>
      <w:r>
        <w:t xml:space="preserve">-19 in the</w:t>
      </w:r>
      <w:r>
        <w:t xml:space="preserve"> </w:t>
      </w:r>
      <w:r>
        <w:t xml:space="preserve">US</w:t>
      </w:r>
      <w:r>
        <w:t xml:space="preserve">,”</w:t>
      </w:r>
      <w:r>
        <w:t xml:space="preserve"> </w:t>
      </w:r>
      <w:r>
        <w:rPr>
          <w:i/>
          <w:iCs/>
        </w:rPr>
        <w:t xml:space="preserve">eLife</w:t>
      </w:r>
      <w:r>
        <w:t xml:space="preserve">, vol. 13, Jul. 2024, doi:</w:t>
      </w:r>
      <w:r>
        <w:t xml:space="preserve"> </w:t>
      </w:r>
      <w:hyperlink r:id="rId90">
        <w:r>
          <w:rPr>
            <w:rStyle w:val="Hyperlink"/>
          </w:rPr>
          <w:t xml:space="preserve">10.7554/eLife.93758.2</w:t>
        </w:r>
      </w:hyperlink>
      <w:r>
        <w:t xml:space="preserve">.</w:t>
      </w:r>
    </w:p>
    <w:bookmarkEnd w:id="91"/>
    <w:bookmarkStart w:id="93" w:name="ref-brunner_comparative_2025"/>
    <w:p>
      <w:pPr>
        <w:pStyle w:val="Bibliography"/>
      </w:pPr>
      <w:r>
        <w:t xml:space="preserve">[19]</w:t>
      </w:r>
      <w:r>
        <w:t xml:space="preserve"> </w:t>
      </w:r>
      <w:r>
        <w:t xml:space="preserve">	</w:t>
      </w:r>
      <w:r>
        <w:t xml:space="preserve">L. Brunner</w:t>
      </w:r>
      <w:r>
        <w:t xml:space="preserve"> </w:t>
      </w:r>
      <w:r>
        <w:rPr>
          <w:i/>
          <w:iCs/>
        </w:rPr>
        <w:t xml:space="preserve">et al.</w:t>
      </w:r>
      <w:r>
        <w:t xml:space="preserve">,</w:t>
      </w:r>
      <w:r>
        <w:t xml:space="preserve"> </w:t>
      </w:r>
      <w:r>
        <w:t xml:space="preserve">“Comparative inpatient care of cancer vs. Non-cancer patients in</w:t>
      </w:r>
      <w:r>
        <w:t xml:space="preserve"> </w:t>
      </w:r>
      <w:r>
        <w:t xml:space="preserve">Switzerland</w:t>
      </w:r>
      <w:r>
        <w:t xml:space="preserve"> </w:t>
      </w:r>
      <w:r>
        <w:t xml:space="preserve">during the national</w:t>
      </w:r>
      <w:r>
        <w:t xml:space="preserve"> </w:t>
      </w:r>
      <w:r>
        <w:t xml:space="preserve">COVID</w:t>
      </w:r>
      <w:r>
        <w:t xml:space="preserve">-19 lockdown: A nationwide interrupted time series analysis,”</w:t>
      </w:r>
      <w:r>
        <w:t xml:space="preserve"> </w:t>
      </w:r>
      <w:r>
        <w:rPr>
          <w:i/>
          <w:iCs/>
        </w:rPr>
        <w:t xml:space="preserve">BMC Cancer</w:t>
      </w:r>
      <w:r>
        <w:t xml:space="preserve">, vol. 25, no. 1, p. 477, Mar. 2025, doi:</w:t>
      </w:r>
      <w:r>
        <w:t xml:space="preserve"> </w:t>
      </w:r>
      <w:hyperlink r:id="rId92">
        <w:r>
          <w:rPr>
            <w:rStyle w:val="Hyperlink"/>
          </w:rPr>
          <w:t xml:space="preserve">10.1186/s12885-025-13818-5</w:t>
        </w:r>
      </w:hyperlink>
      <w:r>
        <w:t xml:space="preserve">.</w:t>
      </w:r>
    </w:p>
    <w:bookmarkEnd w:id="93"/>
    <w:bookmarkStart w:id="95" w:name="ref-fares_winter_2013"/>
    <w:p>
      <w:pPr>
        <w:pStyle w:val="Bibliography"/>
      </w:pPr>
      <w:r>
        <w:t xml:space="preserve">[20]</w:t>
      </w:r>
      <w:r>
        <w:t xml:space="preserve"> </w:t>
      </w:r>
      <w:r>
        <w:t xml:space="preserve">	</w:t>
      </w:r>
      <w:r>
        <w:t xml:space="preserve">A. Fares,</w:t>
      </w:r>
      <w:r>
        <w:t xml:space="preserve"> </w:t>
      </w:r>
      <w:r>
        <w:t xml:space="preserve">“Winter</w:t>
      </w:r>
      <w:r>
        <w:t xml:space="preserve"> </w:t>
      </w:r>
      <w:r>
        <w:t xml:space="preserve">Cardiovascular</w:t>
      </w:r>
      <w:r>
        <w:t xml:space="preserve"> </w:t>
      </w:r>
      <w:r>
        <w:t xml:space="preserve">Diseases</w:t>
      </w:r>
      <w:r>
        <w:t xml:space="preserve"> </w:t>
      </w:r>
      <w:r>
        <w:t xml:space="preserve">Phenomenon</w:t>
      </w:r>
      <w:r>
        <w:t xml:space="preserve">,”</w:t>
      </w:r>
      <w:r>
        <w:t xml:space="preserve"> </w:t>
      </w:r>
      <w:r>
        <w:rPr>
          <w:i/>
          <w:iCs/>
        </w:rPr>
        <w:t xml:space="preserve">North American Journal of Medical Sciences</w:t>
      </w:r>
      <w:r>
        <w:t xml:space="preserve">, vol. 5, no. 4, pp. 266–279, Apr. 2013, doi:</w:t>
      </w:r>
      <w:r>
        <w:t xml:space="preserve"> </w:t>
      </w:r>
      <w:hyperlink r:id="rId94">
        <w:r>
          <w:rPr>
            <w:rStyle w:val="Hyperlink"/>
          </w:rPr>
          <w:t xml:space="preserve">10.4103/1947-2714.110430</w:t>
        </w:r>
      </w:hyperlink>
      <w:r>
        <w:t xml:space="preserve">.</w:t>
      </w:r>
    </w:p>
    <w:bookmarkEnd w:id="95"/>
    <w:bookmarkStart w:id="97" w:name="ref-warren-gash_influenza_2009"/>
    <w:p>
      <w:pPr>
        <w:pStyle w:val="Bibliography"/>
      </w:pPr>
      <w:r>
        <w:t xml:space="preserve">[21]</w:t>
      </w:r>
      <w:r>
        <w:t xml:space="preserve"> </w:t>
      </w:r>
      <w:r>
        <w:t xml:space="preserve">	</w:t>
      </w:r>
      <w:r>
        <w:t xml:space="preserve">C. Warren-Gash, L. Smeeth, and A. C. Hayward,</w:t>
      </w:r>
      <w:r>
        <w:t xml:space="preserve"> </w:t>
      </w:r>
      <w:r>
        <w:t xml:space="preserve">“Influenza as a trigger for acute myocardial infarction or death from cardiovascular disease: A systematic review,”</w:t>
      </w:r>
      <w:r>
        <w:t xml:space="preserve"> </w:t>
      </w:r>
      <w:r>
        <w:rPr>
          <w:i/>
          <w:iCs/>
        </w:rPr>
        <w:t xml:space="preserve">The Lancet Infectious Diseases</w:t>
      </w:r>
      <w:r>
        <w:t xml:space="preserve">, vol. 9, no. 10, pp. 601–610, Oct. 2009, doi:</w:t>
      </w:r>
      <w:r>
        <w:t xml:space="preserve"> </w:t>
      </w:r>
      <w:hyperlink r:id="rId96">
        <w:r>
          <w:rPr>
            <w:rStyle w:val="Hyperlink"/>
          </w:rPr>
          <w:t xml:space="preserve">10.1016/S1473-3099(09)70233-6</w:t>
        </w:r>
      </w:hyperlink>
      <w:r>
        <w:t xml:space="preserve">.</w:t>
      </w:r>
    </w:p>
    <w:bookmarkEnd w:id="97"/>
    <w:bookmarkStart w:id="98" w:name="ref-andrews_estimating_2025"/>
    <w:p>
      <w:pPr>
        <w:pStyle w:val="Bibliography"/>
      </w:pPr>
      <w:r>
        <w:t xml:space="preserve">[22]</w:t>
      </w:r>
      <w:r>
        <w:t xml:space="preserve"> </w:t>
      </w:r>
      <w:r>
        <w:t xml:space="preserve">	</w:t>
      </w:r>
      <w:r>
        <w:t xml:space="preserve">N. Andrews and C. Watson,</w:t>
      </w:r>
      <w:r>
        <w:t xml:space="preserve"> </w:t>
      </w:r>
      <w:r>
        <w:t xml:space="preserve">“Estimating the contribution of influenza,</w:t>
      </w:r>
      <w:r>
        <w:t xml:space="preserve"> </w:t>
      </w:r>
      <w:r>
        <w:t xml:space="preserve">COVID</w:t>
      </w:r>
      <w:r>
        <w:t xml:space="preserve">-19 and extreme cold weather to excess mortality: A working paper update for 2024,”</w:t>
      </w:r>
      <w:r>
        <w:t xml:space="preserve"> </w:t>
      </w:r>
      <w:r>
        <w:t xml:space="preserve">2025.</w:t>
      </w:r>
    </w:p>
    <w:bookmarkEnd w:id="98"/>
    <w:bookmarkStart w:id="100" w:name="ref-nielsen_excess_2011"/>
    <w:p>
      <w:pPr>
        <w:pStyle w:val="Bibliography"/>
      </w:pPr>
      <w:r>
        <w:t xml:space="preserve">[23]</w:t>
      </w:r>
      <w:r>
        <w:t xml:space="preserve"> </w:t>
      </w:r>
      <w:r>
        <w:t xml:space="preserve">	</w:t>
      </w:r>
      <w:r>
        <w:t xml:space="preserve">J. Nielsen, A. Mazick, S. Glismann, and K. Mølbak,</w:t>
      </w:r>
      <w:r>
        <w:t xml:space="preserve"> </w:t>
      </w:r>
      <w:r>
        <w:t xml:space="preserve">“Excess mortality related to seasonal influenza and extreme temperatures in</w:t>
      </w:r>
      <w:r>
        <w:t xml:space="preserve"> </w:t>
      </w:r>
      <w:r>
        <w:t xml:space="preserve">Denmark</w:t>
      </w:r>
      <w:r>
        <w:t xml:space="preserve">, 1994-2010,”</w:t>
      </w:r>
      <w:r>
        <w:t xml:space="preserve"> </w:t>
      </w:r>
      <w:r>
        <w:rPr>
          <w:i/>
          <w:iCs/>
        </w:rPr>
        <w:t xml:space="preserve">BMC Infectious Diseases</w:t>
      </w:r>
      <w:r>
        <w:t xml:space="preserve">, vol. 11, no. 1, p. 350, Dec. 2011, doi:</w:t>
      </w:r>
      <w:r>
        <w:t xml:space="preserve"> </w:t>
      </w:r>
      <w:hyperlink r:id="rId99">
        <w:r>
          <w:rPr>
            <w:rStyle w:val="Hyperlink"/>
          </w:rPr>
          <w:t xml:space="preserve">10.1186/1471-2334-11-350</w:t>
        </w:r>
      </w:hyperlink>
      <w:r>
        <w:t xml:space="preserve">.</w:t>
      </w:r>
    </w:p>
    <w:bookmarkEnd w:id="100"/>
    <w:bookmarkStart w:id="102" w:name="ref-achilleos_excess_2022"/>
    <w:p>
      <w:pPr>
        <w:pStyle w:val="Bibliography"/>
      </w:pPr>
      <w:r>
        <w:t xml:space="preserve">[24]</w:t>
      </w:r>
      <w:r>
        <w:t xml:space="preserve"> </w:t>
      </w:r>
      <w:r>
        <w:t xml:space="preserve">	</w:t>
      </w:r>
      <w:r>
        <w:t xml:space="preserve">S. Achilleos</w:t>
      </w:r>
      <w:r>
        <w:t xml:space="preserve"> </w:t>
      </w:r>
      <w:r>
        <w:rPr>
          <w:i/>
          <w:iCs/>
        </w:rPr>
        <w:t xml:space="preserve">et al.</w:t>
      </w:r>
      <w:r>
        <w:t xml:space="preserve">,</w:t>
      </w:r>
      <w:r>
        <w:t xml:space="preserve"> </w:t>
      </w:r>
      <w:r>
        <w:t xml:space="preserve">“Excess all-cause mortality and</w:t>
      </w:r>
      <w:r>
        <w:t xml:space="preserve"> </w:t>
      </w:r>
      <w:r>
        <w:t xml:space="preserve">COVID</w:t>
      </w:r>
      <w:r>
        <w:t xml:space="preserve">-19-related mortality: A temporal analysis in 22 countries, from</w:t>
      </w:r>
      <w:r>
        <w:t xml:space="preserve"> </w:t>
      </w:r>
      <w:r>
        <w:t xml:space="preserve">January</w:t>
      </w:r>
      <w:r>
        <w:t xml:space="preserve"> </w:t>
      </w:r>
      <w:r>
        <w:t xml:space="preserve">until</w:t>
      </w:r>
      <w:r>
        <w:t xml:space="preserve"> </w:t>
      </w:r>
      <w:r>
        <w:t xml:space="preserve">August</w:t>
      </w:r>
      <w:r>
        <w:t xml:space="preserve"> </w:t>
      </w:r>
      <w:r>
        <w:t xml:space="preserve">2020,”</w:t>
      </w:r>
      <w:r>
        <w:t xml:space="preserve"> </w:t>
      </w:r>
      <w:r>
        <w:rPr>
          <w:i/>
          <w:iCs/>
        </w:rPr>
        <w:t xml:space="preserve">International Journal of Epidemiology</w:t>
      </w:r>
      <w:r>
        <w:t xml:space="preserve">, vol. 51, no. 1, pp. 35–53, Feb. 2022, doi:</w:t>
      </w:r>
      <w:r>
        <w:t xml:space="preserve"> </w:t>
      </w:r>
      <w:hyperlink r:id="rId101">
        <w:r>
          <w:rPr>
            <w:rStyle w:val="Hyperlink"/>
          </w:rPr>
          <w:t xml:space="preserve">10.1093/ije/dyab123</w:t>
        </w:r>
      </w:hyperlink>
      <w:r>
        <w:t xml:space="preserve">.</w:t>
      </w:r>
    </w:p>
    <w:bookmarkEnd w:id="102"/>
    <w:bookmarkStart w:id="104" w:name="ref-zhang_age-related_2022"/>
    <w:p>
      <w:pPr>
        <w:pStyle w:val="Bibliography"/>
      </w:pPr>
      <w:r>
        <w:t xml:space="preserve">[25]</w:t>
      </w:r>
      <w:r>
        <w:t xml:space="preserve"> </w:t>
      </w:r>
      <w:r>
        <w:t xml:space="preserve">	</w:t>
      </w:r>
      <w:r>
        <w:t xml:space="preserve">H. Zhang</w:t>
      </w:r>
      <w:r>
        <w:t xml:space="preserve"> </w:t>
      </w:r>
      <w:r>
        <w:rPr>
          <w:i/>
          <w:iCs/>
        </w:rPr>
        <w:t xml:space="preserve">et al.</w:t>
      </w:r>
      <w:r>
        <w:t xml:space="preserve">,</w:t>
      </w:r>
      <w:r>
        <w:t xml:space="preserve"> </w:t>
      </w:r>
      <w:r>
        <w:t xml:space="preserve">“Age-</w:t>
      </w:r>
      <w:r>
        <w:t xml:space="preserve">Related</w:t>
      </w:r>
      <w:r>
        <w:t xml:space="preserve"> </w:t>
      </w:r>
      <w:r>
        <w:t xml:space="preserve">Risk</w:t>
      </w:r>
      <w:r>
        <w:t xml:space="preserve"> </w:t>
      </w:r>
      <w:r>
        <w:t xml:space="preserve">Factors</w:t>
      </w:r>
      <w:r>
        <w:t xml:space="preserve"> </w:t>
      </w:r>
      <w:r>
        <w:t xml:space="preserve">and</w:t>
      </w:r>
      <w:r>
        <w:t xml:space="preserve"> </w:t>
      </w:r>
      <w:r>
        <w:t xml:space="preserve">Complications</w:t>
      </w:r>
      <w:r>
        <w:t xml:space="preserve"> </w:t>
      </w:r>
      <w:r>
        <w:t xml:space="preserve">of</w:t>
      </w:r>
      <w:r>
        <w:t xml:space="preserve"> </w:t>
      </w:r>
      <w:r>
        <w:t xml:space="preserve">Patients</w:t>
      </w:r>
      <w:r>
        <w:t xml:space="preserve"> </w:t>
      </w:r>
      <w:r>
        <w:t xml:space="preserve">With</w:t>
      </w:r>
      <w:r>
        <w:t xml:space="preserve"> </w:t>
      </w:r>
      <w:r>
        <w:t xml:space="preserve">COVID</w:t>
      </w:r>
      <w:r>
        <w:t xml:space="preserve">-19:</w:t>
      </w:r>
      <w:r>
        <w:t xml:space="preserve"> </w:t>
      </w:r>
      <w:r>
        <w:t xml:space="preserve">A</w:t>
      </w:r>
      <w:r>
        <w:t xml:space="preserve"> </w:t>
      </w:r>
      <w:r>
        <w:t xml:space="preserve">Population</w:t>
      </w:r>
      <w:r>
        <w:t xml:space="preserve">-</w:t>
      </w:r>
      <w:r>
        <w:t xml:space="preserve">Based</w:t>
      </w:r>
      <w:r>
        <w:t xml:space="preserve"> </w:t>
      </w:r>
      <w:r>
        <w:t xml:space="preserve">Retrospective</w:t>
      </w:r>
      <w:r>
        <w:t xml:space="preserve"> </w:t>
      </w:r>
      <w:r>
        <w:t xml:space="preserve">Study</w:t>
      </w:r>
      <w:r>
        <w:t xml:space="preserve">,”</w:t>
      </w:r>
      <w:r>
        <w:t xml:space="preserve"> </w:t>
      </w:r>
      <w:r>
        <w:rPr>
          <w:i/>
          <w:iCs/>
        </w:rPr>
        <w:t xml:space="preserve">Frontiers in Medicine</w:t>
      </w:r>
      <w:r>
        <w:t xml:space="preserve">, vol. 8, p. 757459, Jan. 2022, doi:</w:t>
      </w:r>
      <w:r>
        <w:t xml:space="preserve"> </w:t>
      </w:r>
      <w:hyperlink r:id="rId103">
        <w:r>
          <w:rPr>
            <w:rStyle w:val="Hyperlink"/>
          </w:rPr>
          <w:t xml:space="preserve">10.3389/fmed.2021.757459</w:t>
        </w:r>
      </w:hyperlink>
      <w:r>
        <w:t xml:space="preserve">.</w:t>
      </w:r>
    </w:p>
    <w:bookmarkEnd w:id="104"/>
    <w:bookmarkStart w:id="106" w:name="ref-carollo_competing_2024"/>
    <w:p>
      <w:pPr>
        <w:pStyle w:val="Bibliography"/>
      </w:pPr>
      <w:r>
        <w:t xml:space="preserve">[26]</w:t>
      </w:r>
      <w:r>
        <w:t xml:space="preserve"> </w:t>
      </w:r>
      <w:r>
        <w:t xml:space="preserve">	</w:t>
      </w:r>
      <w:r>
        <w:t xml:space="preserve">A. Carollo, H. Putter, P. H. C. Eilers, and J. Gampe,</w:t>
      </w:r>
      <w:r>
        <w:t xml:space="preserve"> </w:t>
      </w:r>
      <w:r>
        <w:t xml:space="preserve">“Competing risks models with two time scales,”</w:t>
      </w:r>
      <w:r>
        <w:t xml:space="preserve"> </w:t>
      </w:r>
      <w:r>
        <w:rPr>
          <w:i/>
          <w:iCs/>
        </w:rPr>
        <w:t xml:space="preserve">arXiv.org</w:t>
      </w:r>
      <w:r>
        <w:t xml:space="preserve">. Aug. 2024. Accessed: Jun. 19, 2025. [Online]. Available:</w:t>
      </w:r>
      <w:r>
        <w:t xml:space="preserve"> </w:t>
      </w:r>
      <w:hyperlink r:id="rId105">
        <w:r>
          <w:rPr>
            <w:rStyle w:val="Hyperlink"/>
          </w:rPr>
          <w:t xml:space="preserve">https://arxiv.org/abs/2408.15058v1</w:t>
        </w:r>
      </w:hyperlink>
    </w:p>
    <w:bookmarkEnd w:id="106"/>
    <w:bookmarkStart w:id="108" w:name="Xc7aebcb8d5a3e4f865cc2c1eda5bb6c4b617eca"/>
    <w:p>
      <w:pPr>
        <w:pStyle w:val="Bibliography"/>
      </w:pPr>
      <w:r>
        <w:t xml:space="preserve">[27]</w:t>
      </w:r>
      <w:r>
        <w:t xml:space="preserve"> </w:t>
      </w:r>
      <w:r>
        <w:t xml:space="preserve">	</w:t>
      </w:r>
      <w:r>
        <w:t xml:space="preserve">World Health Organization,</w:t>
      </w:r>
      <w:r>
        <w:t xml:space="preserve"> </w:t>
      </w:r>
      <w:r>
        <w:t xml:space="preserve">“Classification statistique internationale des maladies et des problèmes de santé connexes,”</w:t>
      </w:r>
      <w:r>
        <w:t xml:space="preserve"> </w:t>
      </w:r>
      <w:r>
        <w:rPr>
          <w:i/>
          <w:iCs/>
        </w:rPr>
        <w:t xml:space="preserve">International statistical classification of diseases and related health problems</w:t>
      </w:r>
      <w:r>
        <w:t xml:space="preserve">, p. 3, 2009, Accessed: Dec. 19, 2024. [Online]. Available:</w:t>
      </w:r>
      <w:r>
        <w:t xml:space="preserve"> </w:t>
      </w:r>
      <w:hyperlink r:id="rId107">
        <w:r>
          <w:rPr>
            <w:rStyle w:val="Hyperlink"/>
          </w:rPr>
          <w:t xml:space="preserve">https://iris.who.int/handle/10665/44082</w:t>
        </w:r>
      </w:hyperlink>
    </w:p>
    <w:bookmarkEnd w:id="108"/>
    <w:bookmarkStart w:id="110" w:name="ref-riutort-mayol_practical_2022"/>
    <w:p>
      <w:pPr>
        <w:pStyle w:val="Bibliography"/>
      </w:pPr>
      <w:r>
        <w:t xml:space="preserve">[28]</w:t>
      </w:r>
      <w:r>
        <w:t xml:space="preserve"> </w:t>
      </w:r>
      <w:r>
        <w:t xml:space="preserve">	</w:t>
      </w:r>
      <w:r>
        <w:t xml:space="preserve">G. Riutort-Mayol, P.-C. Bürkner, M. R. Andersen, A. Solin, and A. Vehtari,</w:t>
      </w:r>
      <w:r>
        <w:t xml:space="preserve"> </w:t>
      </w:r>
      <w:r>
        <w:t xml:space="preserve">“Practical</w:t>
      </w:r>
      <w:r>
        <w:t xml:space="preserve"> </w:t>
      </w:r>
      <w:r>
        <w:t xml:space="preserve">Hilbert</w:t>
      </w:r>
      <w:r>
        <w:t xml:space="preserve"> </w:t>
      </w:r>
      <w:r>
        <w:t xml:space="preserve">space approximate</w:t>
      </w:r>
      <w:r>
        <w:t xml:space="preserve"> </w:t>
      </w:r>
      <w:r>
        <w:t xml:space="preserve">Bayesian</w:t>
      </w:r>
      <w:r>
        <w:t xml:space="preserve"> </w:t>
      </w:r>
      <w:r>
        <w:t xml:space="preserve">Gaussian</w:t>
      </w:r>
      <w:r>
        <w:t xml:space="preserve"> </w:t>
      </w:r>
      <w:r>
        <w:t xml:space="preserve">processes for probabilistic programming.”</w:t>
      </w:r>
      <w:r>
        <w:t xml:space="preserve"> </w:t>
      </w:r>
      <w:r>
        <w:t xml:space="preserve">arXiv, Mar. 2022. doi:</w:t>
      </w:r>
      <w:r>
        <w:t xml:space="preserve"> </w:t>
      </w:r>
      <w:hyperlink r:id="rId109">
        <w:r>
          <w:rPr>
            <w:rStyle w:val="Hyperlink"/>
          </w:rPr>
          <w:t xml:space="preserve">10.48550/arXiv.2004.11408</w:t>
        </w:r>
      </w:hyperlink>
      <w:r>
        <w:t xml:space="preserve">.</w:t>
      </w:r>
    </w:p>
    <w:bookmarkEnd w:id="110"/>
    <w:bookmarkStart w:id="112" w:name="ref-carpenter_stan_2017"/>
    <w:p>
      <w:pPr>
        <w:pStyle w:val="Bibliography"/>
      </w:pPr>
      <w:r>
        <w:t xml:space="preserve">[29]</w:t>
      </w:r>
      <w:r>
        <w:t xml:space="preserve"> </w:t>
      </w:r>
      <w:r>
        <w:t xml:space="preserve">	</w:t>
      </w:r>
      <w:r>
        <w:t xml:space="preserve">B. Carpenter</w:t>
      </w:r>
      <w:r>
        <w:t xml:space="preserve"> </w:t>
      </w:r>
      <w:r>
        <w:rPr>
          <w:i/>
          <w:iCs/>
        </w:rPr>
        <w:t xml:space="preserve">et al.</w:t>
      </w:r>
      <w:r>
        <w:t xml:space="preserve">,</w:t>
      </w:r>
      <w:r>
        <w:t xml:space="preserve"> </w:t>
      </w:r>
      <w:r>
        <w:t xml:space="preserve">“Stan:</w:t>
      </w:r>
      <w:r>
        <w:t xml:space="preserve"> </w:t>
      </w:r>
      <w:r>
        <w:t xml:space="preserve">A</w:t>
      </w:r>
      <w:r>
        <w:t xml:space="preserve"> </w:t>
      </w:r>
      <w:r>
        <w:t xml:space="preserve">Probabilistic</w:t>
      </w:r>
      <w:r>
        <w:t xml:space="preserve"> </w:t>
      </w:r>
      <w:r>
        <w:t xml:space="preserve">Programming</w:t>
      </w:r>
      <w:r>
        <w:t xml:space="preserve"> </w:t>
      </w:r>
      <w:r>
        <w:t xml:space="preserve">Language</w:t>
      </w:r>
      <w:r>
        <w:t xml:space="preserve">,”</w:t>
      </w:r>
      <w:r>
        <w:t xml:space="preserve"> </w:t>
      </w:r>
      <w:r>
        <w:rPr>
          <w:i/>
          <w:iCs/>
        </w:rPr>
        <w:t xml:space="preserve">Journal of Statistical Software</w:t>
      </w:r>
      <w:r>
        <w:t xml:space="preserve">, vol. 76, pp. 1–32, Jan. 2017, doi:</w:t>
      </w:r>
      <w:r>
        <w:t xml:space="preserve"> </w:t>
      </w:r>
      <w:hyperlink r:id="rId111">
        <w:r>
          <w:rPr>
            <w:rStyle w:val="Hyperlink"/>
          </w:rPr>
          <w:t xml:space="preserve">10.18637/jss.v076.i01</w:t>
        </w:r>
      </w:hyperlink>
      <w:r>
        <w:t xml:space="preserve">.</w:t>
      </w:r>
    </w:p>
    <w:bookmarkEnd w:id="112"/>
    <w:bookmarkEnd w:id="113"/>
    <w:bookmarkEnd w:id="114"/>
    <w:sectPr w:rsidR="00AB51F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506C92A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2D1ACBA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0EAF33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CA049EE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C18B6CA"/>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F4644DE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7F40233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6C14BE5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2C97B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66027B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66344A0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149711611" w:numId="1">
    <w:abstractNumId w:val="10"/>
  </w:num>
  <w:num w16cid:durableId="1456097051" w:numId="2">
    <w:abstractNumId w:val="8"/>
  </w:num>
  <w:num w16cid:durableId="1110705533" w:numId="3">
    <w:abstractNumId w:val="3"/>
  </w:num>
  <w:num w16cid:durableId="2094162552" w:numId="4">
    <w:abstractNumId w:val="2"/>
  </w:num>
  <w:num w16cid:durableId="629092565" w:numId="5">
    <w:abstractNumId w:val="1"/>
  </w:num>
  <w:num w16cid:durableId="361251820" w:numId="6">
    <w:abstractNumId w:val="0"/>
  </w:num>
  <w:num w16cid:durableId="1513452856" w:numId="7">
    <w:abstractNumId w:val="9"/>
  </w:num>
  <w:num w16cid:durableId="1562516368" w:numId="8">
    <w:abstractNumId w:val="7"/>
  </w:num>
  <w:num w16cid:durableId="2019309519" w:numId="9">
    <w:abstractNumId w:val="6"/>
  </w:num>
  <w:num w16cid:durableId="509419437" w:numId="10">
    <w:abstractNumId w:val="5"/>
  </w:num>
  <w:num w16cid:durableId="363093227" w:numId="11">
    <w:abstractNumId w:val="4"/>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B51FA"/>
    <w:rsid w:val="00002E79"/>
    <w:rsid w:val="000C19C5"/>
    <w:rsid w:val="00172E59"/>
    <w:rsid w:val="001B6C30"/>
    <w:rsid w:val="001C436F"/>
    <w:rsid w:val="002276E6"/>
    <w:rsid w:val="002716DF"/>
    <w:rsid w:val="002D0C73"/>
    <w:rsid w:val="002E4C3F"/>
    <w:rsid w:val="003F1726"/>
    <w:rsid w:val="005E69AF"/>
    <w:rsid w:val="006333B7"/>
    <w:rsid w:val="00645487"/>
    <w:rsid w:val="007C2780"/>
    <w:rsid w:val="008435CE"/>
    <w:rsid w:val="009B35F5"/>
    <w:rsid w:val="00A6392B"/>
    <w:rsid w:val="00AB51FA"/>
    <w:rsid w:val="00C263CF"/>
    <w:rsid w:val="00DD595C"/>
    <w:rsid w:val="00DF5F09"/>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C263CF"/>
    <w:pPr>
      <w:spacing w:after="180" w:before="180"/>
    </w:pPr>
    <w:rPr>
      <w:sz w:val="22"/>
    </w:rPr>
  </w:style>
  <w:style w:customStyle="1" w:styleId="FirstParagraph" w:type="paragraph">
    <w:name w:val="First Paragraph"/>
    <w:basedOn w:val="BodyText"/>
    <w:next w:val="BodyText"/>
    <w:qFormat/>
    <w:rsid w:val="00C263CF"/>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F1726"/>
    <w:pPr>
      <w:keepNext/>
      <w:keepLines/>
      <w:spacing w:after="120" w:before="120" w:line="360" w:lineRule="auto"/>
    </w:pPr>
    <w:rPr>
      <w:sz w:val="20"/>
    </w:r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Header" w:type="paragraph">
    <w:name w:val="header"/>
    <w:basedOn w:val="Normal"/>
    <w:link w:val="HeaderChar"/>
    <w:unhideWhenUsed/>
    <w:rsid w:val="002E4C3F"/>
    <w:pPr>
      <w:tabs>
        <w:tab w:pos="4513" w:val="center"/>
        <w:tab w:pos="9026" w:val="right"/>
      </w:tabs>
      <w:spacing w:after="0"/>
    </w:pPr>
  </w:style>
  <w:style w:customStyle="1" w:styleId="HeaderChar" w:type="character">
    <w:name w:val="Header Char"/>
    <w:basedOn w:val="DefaultParagraphFont"/>
    <w:link w:val="Header"/>
    <w:rsid w:val="002E4C3F"/>
  </w:style>
  <w:style w:styleId="Footer" w:type="paragraph">
    <w:name w:val="footer"/>
    <w:basedOn w:val="Normal"/>
    <w:link w:val="FooterChar"/>
    <w:unhideWhenUsed/>
    <w:rsid w:val="002E4C3F"/>
    <w:pPr>
      <w:tabs>
        <w:tab w:pos="4513" w:val="center"/>
        <w:tab w:pos="9026" w:val="right"/>
      </w:tabs>
      <w:spacing w:after="0"/>
    </w:pPr>
  </w:style>
  <w:style w:customStyle="1" w:styleId="FooterChar" w:type="character">
    <w:name w:val="Footer Char"/>
    <w:basedOn w:val="DefaultParagraphFont"/>
    <w:link w:val="Footer"/>
    <w:rsid w:val="002E4C3F"/>
  </w:style>
  <w:style w:styleId="PlaceholderText" w:type="character">
    <w:name w:val="Placeholder Text"/>
    <w:basedOn w:val="DefaultParagraphFont"/>
    <w:semiHidden/>
    <w:rsid w:val="002E4C3F"/>
    <w:rPr>
      <w:color w:val="808080"/>
    </w:rPr>
  </w:style>
  <w:style w:customStyle="1" w:styleId="BodyTextChar" w:type="character">
    <w:name w:val="Body Text Char"/>
    <w:basedOn w:val="DefaultParagraphFont"/>
    <w:link w:val="BodyText"/>
    <w:rsid w:val="002E4C3F"/>
    <w:rPr>
      <w:sz w:val="22"/>
    </w:rPr>
  </w:style>
  <w:style w:customStyle="1" w:styleId="SmallText" w:type="paragraph">
    <w:name w:val="SmallText"/>
    <w:basedOn w:val="BodyText"/>
    <w:link w:val="SmallTextCar"/>
    <w:qFormat/>
    <w:rsid w:val="00A6392B"/>
    <w:rPr>
      <w:sz w:val="16"/>
    </w:rPr>
  </w:style>
  <w:style w:customStyle="1" w:styleId="SmallTextCar" w:type="character">
    <w:name w:val="SmallText Car"/>
    <w:basedOn w:val="BodyTextChar"/>
    <w:link w:val="SmallText"/>
    <w:rsid w:val="00A6392B"/>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hyperlink" Id="rId105" Target="https://arxiv.org/abs/2408.15058v1" TargetMode="External" /><Relationship Type="http://schemas.openxmlformats.org/officeDocument/2006/relationships/hyperlink" Id="rId79" Target="https://doi.org/10.1007/s10654-024-01154-0" TargetMode="External" /><Relationship Type="http://schemas.openxmlformats.org/officeDocument/2006/relationships/hyperlink" Id="rId77" Target="https://doi.org/10.1007/s44197-024-00242-4" TargetMode="External" /><Relationship Type="http://schemas.openxmlformats.org/officeDocument/2006/relationships/hyperlink" Id="rId62" Target="https://doi.org/10.1016/S1470-2045(20)30388-0" TargetMode="External" /><Relationship Type="http://schemas.openxmlformats.org/officeDocument/2006/relationships/hyperlink" Id="rId96" Target="https://doi.org/10.1016/S1473-3099(09)70233-6" TargetMode="External" /><Relationship Type="http://schemas.openxmlformats.org/officeDocument/2006/relationships/hyperlink" Id="rId72" Target="https://doi.org/10.1017/S1748499523000118" TargetMode="External" /><Relationship Type="http://schemas.openxmlformats.org/officeDocument/2006/relationships/hyperlink" Id="rId68" Target="https://doi.org/10.1038/s41467-022-35770-9" TargetMode="External" /><Relationship Type="http://schemas.openxmlformats.org/officeDocument/2006/relationships/hyperlink" Id="rId87" Target="https://doi.org/10.1038/s41591-022-01689-3" TargetMode="External" /><Relationship Type="http://schemas.openxmlformats.org/officeDocument/2006/relationships/hyperlink" Id="rId85" Target="https://doi.org/10.1038/s41591-024-02987-8" TargetMode="External" /><Relationship Type="http://schemas.openxmlformats.org/officeDocument/2006/relationships/hyperlink" Id="rId60" Target="https://doi.org/10.1038/s41598-024-68604-3" TargetMode="External" /><Relationship Type="http://schemas.openxmlformats.org/officeDocument/2006/relationships/hyperlink" Id="rId64" Target="https://doi.org/10.1038/s44161-023-00220-2" TargetMode="External" /><Relationship Type="http://schemas.openxmlformats.org/officeDocument/2006/relationships/hyperlink" Id="rId101" Target="https://doi.org/10.1093/ije/dyab123" TargetMode="External" /><Relationship Type="http://schemas.openxmlformats.org/officeDocument/2006/relationships/hyperlink" Id="rId74" Target="https://doi.org/10.1093/ije/dyaf006" TargetMode="External" /><Relationship Type="http://schemas.openxmlformats.org/officeDocument/2006/relationships/hyperlink" Id="rId58" Target="https://doi.org/10.1111/ajt.16381" TargetMode="External" /><Relationship Type="http://schemas.openxmlformats.org/officeDocument/2006/relationships/hyperlink" Id="rId70" Target="https://doi.org/10.1177/0141076820956802" TargetMode="External" /><Relationship Type="http://schemas.openxmlformats.org/officeDocument/2006/relationships/hyperlink" Id="rId99" Target="https://doi.org/10.1186/1471-2334-11-350" TargetMode="External" /><Relationship Type="http://schemas.openxmlformats.org/officeDocument/2006/relationships/hyperlink" Id="rId66" Target="https://doi.org/10.1186/s12874-023-01984-8" TargetMode="External" /><Relationship Type="http://schemas.openxmlformats.org/officeDocument/2006/relationships/hyperlink" Id="rId92" Target="https://doi.org/10.1186/s12885-025-13818-5" TargetMode="External" /><Relationship Type="http://schemas.openxmlformats.org/officeDocument/2006/relationships/hyperlink" Id="rId81" Target="https://doi.org/10.1371/journal.pone.0281683" TargetMode="External" /><Relationship Type="http://schemas.openxmlformats.org/officeDocument/2006/relationships/hyperlink" Id="rId111" Target="https://doi.org/10.18637/jss.v076.i01" TargetMode="External" /><Relationship Type="http://schemas.openxmlformats.org/officeDocument/2006/relationships/hyperlink" Id="rId103" Target="https://doi.org/10.3389/fmed.2021.757459" TargetMode="External" /><Relationship Type="http://schemas.openxmlformats.org/officeDocument/2006/relationships/hyperlink" Id="rId94" Target="https://doi.org/10.4103/1947-2714.110430" TargetMode="External" /><Relationship Type="http://schemas.openxmlformats.org/officeDocument/2006/relationships/hyperlink" Id="rId83" Target="https://doi.org/10.4414/SMW.2021.w30030" TargetMode="External" /><Relationship Type="http://schemas.openxmlformats.org/officeDocument/2006/relationships/hyperlink" Id="rId109" Target="https://doi.org/10.48550/arXiv.2004.11408" TargetMode="External" /><Relationship Type="http://schemas.openxmlformats.org/officeDocument/2006/relationships/hyperlink" Id="rId90" Target="https://doi.org/10.7554/eLife.93758.2" TargetMode="External" /><Relationship Type="http://schemas.openxmlformats.org/officeDocument/2006/relationships/hyperlink" Id="rId37" Target="https://github.com/anthonyhauser/causes-of-deaths" TargetMode="External" /><Relationship Type="http://schemas.openxmlformats.org/officeDocument/2006/relationships/hyperlink" Id="rId107" Target="https://iris.who.int/handle/10665/44082" TargetMode="External" /><Relationship Type="http://schemas.openxmlformats.org/officeDocument/2006/relationships/hyperlink" Id="rId20" Target="mailto:anthony.hauser@unisante.ch" TargetMode="External" /></Relationships>
</file>

<file path=word/_rels/footnotes.xml.rels><?xml version="1.0" encoding="UTF-8"?><Relationships xmlns="http://schemas.openxmlformats.org/package/2006/relationships"><Relationship Type="http://schemas.openxmlformats.org/officeDocument/2006/relationships/hyperlink" Id="rId105" Target="https://arxiv.org/abs/2408.15058v1" TargetMode="External" /><Relationship Type="http://schemas.openxmlformats.org/officeDocument/2006/relationships/hyperlink" Id="rId79" Target="https://doi.org/10.1007/s10654-024-01154-0" TargetMode="External" /><Relationship Type="http://schemas.openxmlformats.org/officeDocument/2006/relationships/hyperlink" Id="rId77" Target="https://doi.org/10.1007/s44197-024-00242-4" TargetMode="External" /><Relationship Type="http://schemas.openxmlformats.org/officeDocument/2006/relationships/hyperlink" Id="rId62" Target="https://doi.org/10.1016/S1470-2045(20)30388-0" TargetMode="External" /><Relationship Type="http://schemas.openxmlformats.org/officeDocument/2006/relationships/hyperlink" Id="rId96" Target="https://doi.org/10.1016/S1473-3099(09)70233-6" TargetMode="External" /><Relationship Type="http://schemas.openxmlformats.org/officeDocument/2006/relationships/hyperlink" Id="rId72" Target="https://doi.org/10.1017/S1748499523000118" TargetMode="External" /><Relationship Type="http://schemas.openxmlformats.org/officeDocument/2006/relationships/hyperlink" Id="rId68" Target="https://doi.org/10.1038/s41467-022-35770-9" TargetMode="External" /><Relationship Type="http://schemas.openxmlformats.org/officeDocument/2006/relationships/hyperlink" Id="rId87" Target="https://doi.org/10.1038/s41591-022-01689-3" TargetMode="External" /><Relationship Type="http://schemas.openxmlformats.org/officeDocument/2006/relationships/hyperlink" Id="rId85" Target="https://doi.org/10.1038/s41591-024-02987-8" TargetMode="External" /><Relationship Type="http://schemas.openxmlformats.org/officeDocument/2006/relationships/hyperlink" Id="rId60" Target="https://doi.org/10.1038/s41598-024-68604-3" TargetMode="External" /><Relationship Type="http://schemas.openxmlformats.org/officeDocument/2006/relationships/hyperlink" Id="rId64" Target="https://doi.org/10.1038/s44161-023-00220-2" TargetMode="External" /><Relationship Type="http://schemas.openxmlformats.org/officeDocument/2006/relationships/hyperlink" Id="rId101" Target="https://doi.org/10.1093/ije/dyab123" TargetMode="External" /><Relationship Type="http://schemas.openxmlformats.org/officeDocument/2006/relationships/hyperlink" Id="rId74" Target="https://doi.org/10.1093/ije/dyaf006" TargetMode="External" /><Relationship Type="http://schemas.openxmlformats.org/officeDocument/2006/relationships/hyperlink" Id="rId58" Target="https://doi.org/10.1111/ajt.16381" TargetMode="External" /><Relationship Type="http://schemas.openxmlformats.org/officeDocument/2006/relationships/hyperlink" Id="rId70" Target="https://doi.org/10.1177/0141076820956802" TargetMode="External" /><Relationship Type="http://schemas.openxmlformats.org/officeDocument/2006/relationships/hyperlink" Id="rId99" Target="https://doi.org/10.1186/1471-2334-11-350" TargetMode="External" /><Relationship Type="http://schemas.openxmlformats.org/officeDocument/2006/relationships/hyperlink" Id="rId66" Target="https://doi.org/10.1186/s12874-023-01984-8" TargetMode="External" /><Relationship Type="http://schemas.openxmlformats.org/officeDocument/2006/relationships/hyperlink" Id="rId92" Target="https://doi.org/10.1186/s12885-025-13818-5" TargetMode="External" /><Relationship Type="http://schemas.openxmlformats.org/officeDocument/2006/relationships/hyperlink" Id="rId81" Target="https://doi.org/10.1371/journal.pone.0281683" TargetMode="External" /><Relationship Type="http://schemas.openxmlformats.org/officeDocument/2006/relationships/hyperlink" Id="rId111" Target="https://doi.org/10.18637/jss.v076.i01" TargetMode="External" /><Relationship Type="http://schemas.openxmlformats.org/officeDocument/2006/relationships/hyperlink" Id="rId103" Target="https://doi.org/10.3389/fmed.2021.757459" TargetMode="External" /><Relationship Type="http://schemas.openxmlformats.org/officeDocument/2006/relationships/hyperlink" Id="rId94" Target="https://doi.org/10.4103/1947-2714.110430" TargetMode="External" /><Relationship Type="http://schemas.openxmlformats.org/officeDocument/2006/relationships/hyperlink" Id="rId83" Target="https://doi.org/10.4414/SMW.2021.w30030" TargetMode="External" /><Relationship Type="http://schemas.openxmlformats.org/officeDocument/2006/relationships/hyperlink" Id="rId109" Target="https://doi.org/10.48550/arXiv.2004.11408" TargetMode="External" /><Relationship Type="http://schemas.openxmlformats.org/officeDocument/2006/relationships/hyperlink" Id="rId90" Target="https://doi.org/10.7554/eLife.93758.2" TargetMode="External" /><Relationship Type="http://schemas.openxmlformats.org/officeDocument/2006/relationships/hyperlink" Id="rId37" Target="https://github.com/anthonyhauser/causes-of-deaths" TargetMode="External" /><Relationship Type="http://schemas.openxmlformats.org/officeDocument/2006/relationships/hyperlink" Id="rId107" Target="https://iris.who.int/handle/10665/44082" TargetMode="External" /><Relationship Type="http://schemas.openxmlformats.org/officeDocument/2006/relationships/hyperlink" Id="rId20" Target="mailto:anthony.hauser@unisant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391</Words>
  <Characters>2156</Characters>
  <Application>Microsoft Office Word</Application>
  <DocSecurity>0</DocSecurity>
  <Lines>17</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Anthony Hauser* (1), Moritz Wagner (2), Anna Fesser† (2), Karim Abawi (3), Anne Laube (2), Garyfallos Konstantinoudis (4), Julien Riou (1)</dc:creator>
  <cp:keywords/>
  <dcterms:created xsi:type="dcterms:W3CDTF">2026-03-31T15:36:35Z</dcterms:created>
  <dcterms:modified xsi:type="dcterms:W3CDTF">2026-03-31T15:36:35Z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