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49.png" ContentType="image/png"/>
  <Override PartName="/word/media/rId52.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COVID-19 disrupted patterns of cause-specific mortality in Switzerland</w:t>
      </w:r>
    </w:p>
    <w:p>
      <w:pPr>
        <w:pStyle w:val="Author"/>
      </w:pPr>
      <w:r>
        <w:t xml:space="preserve">Anthony Hauser* (1), Moritz Wagner (2), Anna Fesser† (2), Karim Abawi (3), Anne Laube (2), Garyfallos Konstantinoudis (4), Julien Riou (1)</w:t>
      </w:r>
    </w:p>
    <w:p>
      <w:pPr>
        <w:pStyle w:val="Compact"/>
        <w:numPr>
          <w:ilvl w:val="0"/>
          <w:numId w:val="1001"/>
        </w:numPr>
      </w:pPr>
      <w:r>
        <w:t xml:space="preserve">Department of Epidemiology and Health Systems, Unisanté, Center for Primary Care and Public Health and University of Lausanne, Lausanne, Switzerland;</w:t>
      </w:r>
    </w:p>
    <w:p>
      <w:pPr>
        <w:pStyle w:val="Compact"/>
        <w:numPr>
          <w:ilvl w:val="0"/>
          <w:numId w:val="1001"/>
        </w:numPr>
      </w:pPr>
      <w:r>
        <w:t xml:space="preserve">Federal Statistical Office, Neuchâtel, Switzerland;</w:t>
      </w:r>
    </w:p>
    <w:p>
      <w:pPr>
        <w:pStyle w:val="Compact"/>
        <w:numPr>
          <w:ilvl w:val="0"/>
          <w:numId w:val="1001"/>
        </w:numPr>
      </w:pPr>
      <w:r>
        <w:t xml:space="preserve">Federal Office of Public Health, Communicable Diseases Division, Bern, Switzerland;</w:t>
      </w:r>
    </w:p>
    <w:p>
      <w:pPr>
        <w:pStyle w:val="Compact"/>
        <w:numPr>
          <w:ilvl w:val="0"/>
          <w:numId w:val="1001"/>
        </w:numPr>
      </w:pPr>
      <w:r>
        <w:t xml:space="preserve">Grantham Institute for Climate Change and the Environment, Imperial College London, London, UK;</w:t>
      </w:r>
    </w:p>
    <w:p>
      <w:pPr>
        <w:pStyle w:val="FirstParagraph"/>
      </w:pPr>
      <w:r>
        <w:t xml:space="preserve">(*) Corresponding author:</w:t>
      </w:r>
      <w:r>
        <w:t xml:space="preserve"> </w:t>
      </w:r>
      <w:hyperlink r:id="rId20">
        <w:r>
          <w:rPr>
            <w:rStyle w:val="Hyperlink"/>
          </w:rPr>
          <w:t xml:space="preserve">anthony.hauser@unisante.ch</w:t>
        </w:r>
      </w:hyperlink>
      <w:r>
        <w:t xml:space="preserve"> </w:t>
      </w:r>
      <w:r>
        <w:t xml:space="preserve">(†) former affiliation</w:t>
      </w:r>
    </w:p>
    <w:bookmarkStart w:id="21" w:name="table"/>
    <w:p>
      <w:pPr>
        <w:pStyle w:val="Heading1"/>
      </w:pPr>
      <w:r>
        <w:rPr>
          <w:rStyle w:val="SectionNumber"/>
        </w:rPr>
        <w:t xml:space="preserve">1</w:t>
      </w:r>
      <w:r>
        <w:tab/>
      </w:r>
      <w:r>
        <w:t xml:space="preserve">Table</w:t>
      </w:r>
    </w:p>
    <w:p>
      <w:pPr>
        <w:pStyle w:val="FirstParagraph"/>
      </w:pPr>
      <w:r>
        <w:rPr>
          <w:b/>
          <w:bCs/>
        </w:rPr>
        <w:t xml:space="preserve">Table S1.</w:t>
      </w:r>
      <w:r>
        <w:t xml:space="preserve"> </w:t>
      </w:r>
      <w:r>
        <w:t xml:space="preserve">Description of the nine categories used to group the causes of deaths. Chapters correspond to the International Classification of Diseases, 10th Revision (ICD-10).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Cause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Examples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Chapters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Cardiovascular Diseases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Ischaemic heart disease, heart attack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Neoplasms (Cancers)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Lung, breast, prostate neoplasms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Mental and Neurological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Dementia, Alzheimer, Parkinson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5, 6</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disease, pneumonia, influenza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External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Fall, vehicule accident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Intentional self-harm/poisoning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Infectious and Parasitic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Unspecified, diabetes, senility, organ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3, 4, 7, 8, 11, 12, 13, 14, 15, 16, 17, 18, 22</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bl>
    <w:bookmarkEnd w:id="21"/>
    <w:bookmarkStart w:id="55" w:name="figures"/>
    <w:p>
      <w:pPr>
        <w:pStyle w:val="Heading1"/>
      </w:pPr>
      <w:r>
        <w:rPr>
          <w:rStyle w:val="SectionNumber"/>
        </w:rPr>
        <w:t xml:space="preserve">2</w:t>
      </w:r>
      <w:r>
        <w:tab/>
      </w:r>
      <w:r>
        <w:t xml:space="preserve">Figures</w:t>
      </w:r>
    </w:p>
    <w:p>
      <w:pPr>
        <w:pStyle w:val="FirstParagraph"/>
      </w:pPr>
      <w:r>
        <w:drawing>
          <wp:inline>
            <wp:extent cx="5943600" cy="8321040"/>
            <wp:effectExtent b="0" l="0" r="0" t="0"/>
            <wp:docPr descr="" title="" id="23" name="Picture"/>
            <a:graphic>
              <a:graphicData uri="http://schemas.openxmlformats.org/drawingml/2006/picture">
                <pic:pic>
                  <pic:nvPicPr>
                    <pic:cNvPr descr="causes-of-deaths_supplementary_files/figure-docx/unnamed-chunk-3-1.png" id="24" name="Picture"/>
                    <pic:cNvPicPr>
                      <a:picLocks noChangeArrowheads="1" noChangeAspect="1"/>
                    </pic:cNvPicPr>
                  </pic:nvPicPr>
                  <pic:blipFill>
                    <a:blip r:embed="rId22"/>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Model fit and cross-cause dependencies for the 0-17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0-17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8321040"/>
            <wp:effectExtent b="0" l="0" r="0" t="0"/>
            <wp:docPr descr="" title="" id="26" name="Picture"/>
            <a:graphic>
              <a:graphicData uri="http://schemas.openxmlformats.org/drawingml/2006/picture">
                <pic:pic>
                  <pic:nvPicPr>
                    <pic:cNvPr descr="causes-of-deaths_supplementary_files/figure-docx/unnamed-chunk-4-1.png" id="27" name="Picture"/>
                    <pic:cNvPicPr>
                      <a:picLocks noChangeArrowheads="1" noChangeAspect="1"/>
                    </pic:cNvPicPr>
                  </pic:nvPicPr>
                  <pic:blipFill>
                    <a:blip r:embed="rId25"/>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Model fit and cross-cause dependencies for the 18-39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18-39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8321040"/>
            <wp:effectExtent b="0" l="0" r="0" t="0"/>
            <wp:docPr descr="" title="" id="29" name="Picture"/>
            <a:graphic>
              <a:graphicData uri="http://schemas.openxmlformats.org/drawingml/2006/picture">
                <pic:pic>
                  <pic:nvPicPr>
                    <pic:cNvPr descr="causes-of-deaths_supplementary_files/figure-docx/unnamed-chunk-5-1.png" id="30" name="Picture"/>
                    <pic:cNvPicPr>
                      <a:picLocks noChangeArrowheads="1" noChangeAspect="1"/>
                    </pic:cNvPicPr>
                  </pic:nvPicPr>
                  <pic:blipFill>
                    <a:blip r:embed="rId28"/>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Model fit and cross-cause dependencies for the 40-64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40-64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8321040"/>
            <wp:effectExtent b="0" l="0" r="0" t="0"/>
            <wp:docPr descr="" title="" id="32" name="Picture"/>
            <a:graphic>
              <a:graphicData uri="http://schemas.openxmlformats.org/drawingml/2006/picture">
                <pic:pic>
                  <pic:nvPicPr>
                    <pic:cNvPr descr="causes-of-deaths_supplementary_files/figure-docx/unnamed-chunk-6-1.png" id="33" name="Picture"/>
                    <pic:cNvPicPr>
                      <a:picLocks noChangeArrowheads="1" noChangeAspect="1"/>
                    </pic:cNvPicPr>
                  </pic:nvPicPr>
                  <pic:blipFill>
                    <a:blip r:embed="rId31"/>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Model fit and cross-cause dependencies for the 65-79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65-79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4402666"/>
            <wp:effectExtent b="0" l="0" r="0" t="0"/>
            <wp:docPr descr="" title="" id="35" name="Picture"/>
            <a:graphic>
              <a:graphicData uri="http://schemas.openxmlformats.org/drawingml/2006/picture">
                <pic:pic>
                  <pic:nvPicPr>
                    <pic:cNvPr descr="causes-of-deaths_supplementary_files/figure-docx/unnamed-chunk-7-1.png" id="36" name="Picture"/>
                    <pic:cNvPicPr>
                      <a:picLocks noChangeArrowheads="1" noChangeAspect="1"/>
                    </pic:cNvPicPr>
                  </pic:nvPicPr>
                  <pic:blipFill>
                    <a:blip r:embed="rId34"/>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S5.</w:t>
      </w:r>
      <w:r>
        <w:t xml:space="preserve"> </w:t>
      </w:r>
      <w:r>
        <w:t xml:space="preserve">Cause-specific excess mortality by phase for 0-17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38" name="Picture"/>
            <a:graphic>
              <a:graphicData uri="http://schemas.openxmlformats.org/drawingml/2006/picture">
                <pic:pic>
                  <pic:nvPicPr>
                    <pic:cNvPr descr="causes-of-deaths_supplementary_files/figure-docx/unnamed-chunk-8-1.png" id="39" name="Picture"/>
                    <pic:cNvPicPr>
                      <a:picLocks noChangeArrowheads="1" noChangeAspect="1"/>
                    </pic:cNvPicPr>
                  </pic:nvPicPr>
                  <pic:blipFill>
                    <a:blip r:embed="rId37"/>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S6.</w:t>
      </w:r>
      <w:r>
        <w:t xml:space="preserve"> </w:t>
      </w:r>
      <w:r>
        <w:t xml:space="preserve">Cause-specific excess mortality by phase for 18-39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41" name="Picture"/>
            <a:graphic>
              <a:graphicData uri="http://schemas.openxmlformats.org/drawingml/2006/picture">
                <pic:pic>
                  <pic:nvPicPr>
                    <pic:cNvPr descr="causes-of-deaths_supplementary_files/figure-docx/unnamed-chunk-9-1.png" id="42" name="Picture"/>
                    <pic:cNvPicPr>
                      <a:picLocks noChangeArrowheads="1" noChangeAspect="1"/>
                    </pic:cNvPicPr>
                  </pic:nvPicPr>
                  <pic:blipFill>
                    <a:blip r:embed="rId40"/>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S7.</w:t>
      </w:r>
      <w:r>
        <w:t xml:space="preserve"> </w:t>
      </w:r>
      <w:r>
        <w:t xml:space="preserve">Cause-specific excess mortality by phase for 40-64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44" name="Picture"/>
            <a:graphic>
              <a:graphicData uri="http://schemas.openxmlformats.org/drawingml/2006/picture">
                <pic:pic>
                  <pic:nvPicPr>
                    <pic:cNvPr descr="causes-of-deaths_supplementary_files/figure-docx/unnamed-chunk-10-1.png" id="45" name="Picture"/>
                    <pic:cNvPicPr>
                      <a:picLocks noChangeArrowheads="1" noChangeAspect="1"/>
                    </pic:cNvPicPr>
                  </pic:nvPicPr>
                  <pic:blipFill>
                    <a:blip r:embed="rId43"/>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S8.</w:t>
      </w:r>
      <w:r>
        <w:t xml:space="preserve"> </w:t>
      </w:r>
      <w:r>
        <w:t xml:space="preserve">Cause-specific excess mortality by phase for 65-79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47" name="Picture"/>
            <a:graphic>
              <a:graphicData uri="http://schemas.openxmlformats.org/drawingml/2006/picture">
                <pic:pic>
                  <pic:nvPicPr>
                    <pic:cNvPr descr="causes-of-deaths_supplementary_files/figure-docx/unnamed-chunk-11-1.png" id="48" name="Picture"/>
                    <pic:cNvPicPr>
                      <a:picLocks noChangeArrowheads="1" noChangeAspect="1"/>
                    </pic:cNvPicPr>
                  </pic:nvPicPr>
                  <pic:blipFill>
                    <a:blip r:embed="rId46"/>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S9.</w:t>
      </w:r>
      <w:r>
        <w:t xml:space="preserve"> </w:t>
      </w:r>
      <w:r>
        <w:t xml:space="preserve">Cause-specific excess mortality by phase for 80+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5943600"/>
            <wp:effectExtent b="0" l="0" r="0" t="0"/>
            <wp:docPr descr="" title="" id="50" name="Picture"/>
            <a:graphic>
              <a:graphicData uri="http://schemas.openxmlformats.org/drawingml/2006/picture">
                <pic:pic>
                  <pic:nvPicPr>
                    <pic:cNvPr descr="causes-of-deaths_supplementary_files/figure-docx/unnamed-chunk-12-1.png" id="51" name="Picture"/>
                    <pic:cNvPicPr>
                      <a:picLocks noChangeArrowheads="1" noChangeAspect="1"/>
                    </pic:cNvPicPr>
                  </pic:nvPicPr>
                  <pic:blipFill>
                    <a:blip r:embed="rId49"/>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S10.</w:t>
      </w:r>
      <w:r>
        <w:t xml:space="preserve"> </w:t>
      </w:r>
      <w:r>
        <w:t xml:space="preserve">Additional analysis of cancer mortality during COVID-19 pandemic. A. Number of individuals dying with cancer over time in 2020-21, stratified by the underlying cause of deaths and age groups (65-79 and 80+). The pink lines represent the number of deaths from cancer (i.e., whose underlying cause is cancer), either observed (straight lines) or expected (dashed lines), the blue lines represent the number individuals with cancer dying from other causes and the black lines represent the total number of individuals dying with cancer. The gray area denotes the period where a deficit in cancer mortality was observed. For better visualisation, a moving average of 9 weeks was applied to the weekly numbers. B. Relative change in total number of individuals dying with cancer, stratified by cancer survival (low, medium and high) and age groups (65-79 and 80+). The change was calculated relative to the mean number of deaths during 2020-21 for each age group and survival group. For ages 65–79, cancers with high survival included breast, male genital, thyroid/endocrine, skin (melanoma), and benign or in situ neoplasms; medium survival included digestive, urinary, female genital, oral/pharyngeal, lymphoid/haematopoietic (except myeloma and leukaemias), and uncertain/unknown neoplasms; low survival included respiratory, mesothelial/soft tissue, CNS, bone, and ill-defined cancers. For ages 80+, high survival included breast, male genital, benign, and in situ neoplasms; medium survival included colorectal, thyroid/endocrine, urinary, skin (melanoma), and uncertain/unknown neoplasms; and low survival included respiratory, other digestive (e.g., oesophagus, stomach, pancreas, liver), lymphoid/haematopoietic, female genital, mesothelial/soft tissue, CNS, bone, and ill-defined cancers.</w:t>
      </w:r>
    </w:p>
    <w:p>
      <w:pPr>
        <w:pStyle w:val="BodyText"/>
      </w:pPr>
      <w:r>
        <w:drawing>
          <wp:inline>
            <wp:extent cx="5943600" cy="5943600"/>
            <wp:effectExtent b="0" l="0" r="0" t="0"/>
            <wp:docPr descr="" title="" id="53" name="Picture"/>
            <a:graphic>
              <a:graphicData uri="http://schemas.openxmlformats.org/drawingml/2006/picture">
                <pic:pic>
                  <pic:nvPicPr>
                    <pic:cNvPr descr="causes-of-deaths_supplementary_files/figure-docx/unnamed-chunk-13-1.png" id="54" name="Picture"/>
                    <pic:cNvPicPr>
                      <a:picLocks noChangeArrowheads="1" noChangeAspect="1"/>
                    </pic:cNvPicPr>
                  </pic:nvPicPr>
                  <pic:blipFill>
                    <a:blip r:embed="rId52"/>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S11.</w:t>
      </w:r>
      <w:r>
        <w:t xml:space="preserve"> </w:t>
      </w:r>
      <w:r>
        <w:t xml:space="preserve">Partial correlation between excess mortality due to either COVID-19 (red) or to other respiratory diseases (blue, tagged as</w:t>
      </w:r>
      <w:r>
        <w:t xml:space="preserve"> </w:t>
      </w:r>
      <w:r>
        <w:t xml:space="preserve">“Respiratory Diseases”</w:t>
      </w:r>
      <w:r>
        <w:t xml:space="preserve">) and excess mortality due to specific causes of deaths for each age group, considering different lags (in weeks). Solid color lines correspond to the posterior mean and shaded colored area to the 95% CrI. The vertical dashed lines indicate the lag with the highest absolute partial correlation. A positive lag corresponds to the situation where either excess mortality due to respiratory diseases (either COVID-19 or other respiratory diseases) occurs slightly after excess mortality due to considered cause.</w:t>
      </w:r>
    </w:p>
    <w:bookmarkEnd w:id="55"/>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435CE"/>
    <w:rsid w:val="009B35F5"/>
    <w:rsid w:val="00A6392B"/>
    <w:rsid w:val="00AB51FA"/>
    <w:rsid w:val="00C263CF"/>
    <w:rsid w:val="00DD595C"/>
    <w:rsid w:val="00DF5F09"/>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263CF"/>
    <w:pPr>
      <w:spacing w:after="180" w:before="180"/>
    </w:pPr>
    <w:rPr>
      <w:sz w:val="22"/>
    </w:rPr>
  </w:style>
  <w:style w:customStyle="1" w:styleId="FirstParagraph" w:type="paragraph">
    <w:name w:val="First Paragraph"/>
    <w:basedOn w:val="BodyText"/>
    <w:next w:val="BodyText"/>
    <w:qFormat/>
    <w:rsid w:val="00C263CF"/>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F1726"/>
    <w:pPr>
      <w:keepNext/>
      <w:keepLines/>
      <w:spacing w:after="120" w:before="120" w:line="360" w:lineRule="auto"/>
    </w:pPr>
    <w:rPr>
      <w:sz w:val="20"/>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nhideWhenUsed/>
    <w:rsid w:val="002E4C3F"/>
    <w:pPr>
      <w:tabs>
        <w:tab w:pos="4513" w:val="center"/>
        <w:tab w:pos="9026" w:val="right"/>
      </w:tabs>
      <w:spacing w:after="0"/>
    </w:pPr>
  </w:style>
  <w:style w:customStyle="1" w:styleId="HeaderChar" w:type="character">
    <w:name w:val="Header Char"/>
    <w:basedOn w:val="DefaultParagraphFont"/>
    <w:link w:val="Header"/>
    <w:rsid w:val="002E4C3F"/>
  </w:style>
  <w:style w:styleId="Footer" w:type="paragraph">
    <w:name w:val="footer"/>
    <w:basedOn w:val="Normal"/>
    <w:link w:val="FooterChar"/>
    <w:unhideWhenUsed/>
    <w:rsid w:val="002E4C3F"/>
    <w:pPr>
      <w:tabs>
        <w:tab w:pos="4513" w:val="center"/>
        <w:tab w:pos="9026" w:val="right"/>
      </w:tabs>
      <w:spacing w:after="0"/>
    </w:pPr>
  </w:style>
  <w:style w:customStyle="1" w:styleId="FooterChar" w:type="character">
    <w:name w:val="Footer Char"/>
    <w:basedOn w:val="DefaultParagraphFont"/>
    <w:link w:val="Footer"/>
    <w:rsid w:val="002E4C3F"/>
  </w:style>
  <w:style w:styleId="PlaceholderText" w:type="character">
    <w:name w:val="Placeholder Text"/>
    <w:basedOn w:val="DefaultParagraphFont"/>
    <w:semiHidden/>
    <w:rsid w:val="002E4C3F"/>
    <w:rPr>
      <w:color w:val="808080"/>
    </w:rPr>
  </w:style>
  <w:style w:customStyle="1" w:styleId="BodyTextChar" w:type="character">
    <w:name w:val="Body Text Char"/>
    <w:basedOn w:val="DefaultParagraphFont"/>
    <w:link w:val="BodyText"/>
    <w:rsid w:val="002E4C3F"/>
    <w:rPr>
      <w:sz w:val="22"/>
    </w:rPr>
  </w:style>
  <w:style w:customStyle="1" w:styleId="SmallText" w:type="paragraph">
    <w:name w:val="SmallText"/>
    <w:basedOn w:val="BodyText"/>
    <w:link w:val="SmallTextCar"/>
    <w:qFormat/>
    <w:rsid w:val="00A6392B"/>
    <w:rPr>
      <w:sz w:val="16"/>
    </w:rPr>
  </w:style>
  <w:style w:customStyle="1" w:styleId="SmallTextCar" w:type="characte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20" Target="mailto:anthony.hauser@unisante.ch" TargetMode="External" /></Relationships>
</file>

<file path=word/_rels/footnotes.xml.rels><?xml version="1.0" encoding="UTF-8"?><Relationships xmlns="http://schemas.openxmlformats.org/package/2006/relationships"><Relationship Type="http://schemas.openxmlformats.org/officeDocument/2006/relationships/hyperlink" Id="rId20" Target="mailto:anthony.hauser@unisan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COVID-19 disrupted patterns of cause-specific mortality in Switzerland</dc:title>
  <dc:creator>Anthony Hauser* (1), Moritz Wagner (2), Anna Fesser† (2), Karim Abawi (3), Anne Laube (2), Garyfallos Konstantinoudis (4), Julien Riou (1)</dc:creator>
  <cp:keywords/>
  <dcterms:created xsi:type="dcterms:W3CDTF">2026-03-31T15:38:00Z</dcterms:created>
  <dcterms:modified xsi:type="dcterms:W3CDTF">2026-03-31T15:38:00Z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