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62924" w14:textId="77777777" w:rsidR="00073879" w:rsidRDefault="00000000">
      <w:pPr>
        <w:pStyle w:val="Title"/>
      </w:pPr>
      <w:r>
        <w:t>COVID-19 disrupted patterns of cause-specific mortality in Switzerland</w:t>
      </w:r>
    </w:p>
    <w:p w14:paraId="3FD306F6" w14:textId="77777777" w:rsidR="00073879" w:rsidRDefault="00000000">
      <w:pPr>
        <w:pStyle w:val="Heading1"/>
      </w:pPr>
      <w:bookmarkStart w:id="0" w:name="abstract"/>
      <w:r>
        <w:rPr>
          <w:rStyle w:val="SectionNumber"/>
        </w:rPr>
        <w:t>1</w:t>
      </w:r>
      <w:r>
        <w:tab/>
        <w:t>Abstract</w:t>
      </w:r>
    </w:p>
    <w:p w14:paraId="1DBEE9B4" w14:textId="77777777" w:rsidR="00073879" w:rsidRDefault="00000000">
      <w:pPr>
        <w:pStyle w:val="FirstParagraph"/>
      </w:pPr>
      <w:r>
        <w:t>The COVID-19 pandemic disrupted mortality patterns beyond deaths directly attributed to SARS-CoV-2. To understand these disruptions, we analysed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1AD17EE2" w14:textId="77777777" w:rsidR="00251927" w:rsidRPr="00251927" w:rsidRDefault="00251927" w:rsidP="00251927">
      <w:pPr>
        <w:pStyle w:val="BodyText"/>
      </w:pPr>
    </w:p>
    <w:p w14:paraId="40186C2B" w14:textId="0DE09C1D" w:rsidR="00073879" w:rsidRDefault="00251927" w:rsidP="00251927">
      <w:pPr>
        <w:pStyle w:val="BodyText"/>
      </w:pPr>
      <w:r w:rsidRPr="00251927">
        <w:rPr>
          <w:b/>
          <w:bCs/>
        </w:rPr>
        <w:t>Keywords</w:t>
      </w:r>
      <w:r>
        <w:t>: cause-specific mortality, cause-of-death statistics, Bayesian statistics, multivariate models, COVID-19</w:t>
      </w:r>
      <w:r w:rsidR="00000000">
        <w:br w:type="page"/>
      </w:r>
    </w:p>
    <w:p w14:paraId="03FA75EE" w14:textId="77777777" w:rsidR="00073879" w:rsidRDefault="00000000">
      <w:pPr>
        <w:pStyle w:val="Heading1"/>
      </w:pPr>
      <w:bookmarkStart w:id="1" w:name="introduction"/>
      <w:bookmarkEnd w:id="0"/>
      <w:r>
        <w:rPr>
          <w:rStyle w:val="SectionNumber"/>
        </w:rPr>
        <w:lastRenderedPageBreak/>
        <w:t>2</w:t>
      </w:r>
      <w:r>
        <w:tab/>
        <w:t>Introduction</w:t>
      </w:r>
    </w:p>
    <w:p w14:paraId="3A8AE9CD" w14:textId="77777777" w:rsidR="00073879"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7E383C1B" w14:textId="77777777" w:rsidR="00073879" w:rsidRDefault="00000000">
      <w:pPr>
        <w:pStyle w:val="BodyText"/>
      </w:pPr>
      <w:r>
        <w:t xml:space="preserve">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 -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[8]. Previous studies on cause-specific excess mortality during COVID-19 have documented important shifts, such as increases in cardiovascular deaths alongside declines in respiratory or dementia mortality, with subtantial heterogeneity across countries [4], [9]–[12]. Some investigations have also reported temporal or geographic correlations between COVID-19 activity and non-COVID-19 outcomes [9], [10], [13]. However, most of these works focused on one or a limited set of causes, making interpretation difficult given that mortality processes are inherently interdependent.  Comprehensive assessments that jointly model multiple causes and explicitly account for cross-cause correlations remain scarce. </w:t>
      </w:r>
    </w:p>
    <w:p w14:paraId="7172D6EC" w14:textId="77777777" w:rsidR="00003807" w:rsidRDefault="00000000" w:rsidP="00003807">
      <w:pPr>
        <w:pStyle w:val="BodyText"/>
      </w:pPr>
      <w:r>
        <w:t>Switzerland maintains high-quality mortality statistics through a thorough process of reviewing each death certificate, yielding rich information on underlying, immediate, and concomitant causes suitable for detailed epidemiological analyses [14]. Leveraging these data, we aim to estimate cause-specific excess mortality in Switzerland from 2011 to 2021, with a particular focus on cross-cause correlations. We implement a Bayesian multivariate model that captures seasonal and long-term trends, accounts for population dynamics, and models correlation across causes through a shared latent random effects structure. By examining both the pre-pandemic synchrony in cause-specific mortality and its disruption during the pandemic, we aim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327AC116" w14:textId="7827F341" w:rsidR="00003807" w:rsidRDefault="00003807" w:rsidP="00003807">
      <w:pPr>
        <w:pStyle w:val="Heading1"/>
      </w:pPr>
      <w:r>
        <w:rPr>
          <w:rStyle w:val="SectionNumber"/>
        </w:rPr>
        <w:lastRenderedPageBreak/>
        <w:t>3</w:t>
      </w:r>
      <w:r>
        <w:tab/>
        <w:t>Methods</w:t>
      </w:r>
    </w:p>
    <w:p w14:paraId="2A4E42AF" w14:textId="725BF909" w:rsidR="00003807" w:rsidRDefault="00003807" w:rsidP="00003807">
      <w:pPr>
        <w:pStyle w:val="Heading2"/>
      </w:pPr>
      <w:bookmarkStart w:id="2" w:name="data"/>
      <w:r>
        <w:rPr>
          <w:rStyle w:val="SectionNumber"/>
        </w:rPr>
        <w:t>3</w:t>
      </w:r>
      <w:r>
        <w:rPr>
          <w:rStyle w:val="SectionNumber"/>
        </w:rPr>
        <w:t>.1</w:t>
      </w:r>
      <w:r>
        <w:tab/>
        <w:t>Data</w:t>
      </w:r>
    </w:p>
    <w:p w14:paraId="1760F750" w14:textId="675F4748" w:rsidR="00003807" w:rsidRDefault="00003807" w:rsidP="00003807">
      <w:pPr>
        <w:pStyle w:val="FirstParagraph"/>
      </w:pPr>
      <w:r>
        <w:t xml:space="preserve">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[27].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w:t>
      </w:r>
      <w:r w:rsidR="00547615">
        <w:t>Supplementary File 1</w:t>
      </w:r>
      <w:r>
        <w:t>). Yearly population data by sex, NUTS-2 region, and age group for the years 2011–2021 were also provided by the Federal Statistical Office (FSO). We applied linear interpolation to obtain weekly population estimates.</w:t>
      </w:r>
    </w:p>
    <w:p w14:paraId="7DFC7354" w14:textId="07ED3143" w:rsidR="00003807" w:rsidRDefault="00003807" w:rsidP="00003807">
      <w:pPr>
        <w:pStyle w:val="Heading2"/>
      </w:pPr>
      <w:bookmarkStart w:id="3" w:name="model"/>
      <w:bookmarkEnd w:id="2"/>
      <w:r>
        <w:rPr>
          <w:rStyle w:val="SectionNumber"/>
        </w:rPr>
        <w:t>3</w:t>
      </w:r>
      <w:r>
        <w:rPr>
          <w:rStyle w:val="SectionNumber"/>
        </w:rPr>
        <w:t>.2</w:t>
      </w:r>
      <w:r>
        <w:tab/>
        <w:t>Model</w:t>
      </w:r>
    </w:p>
    <w:p w14:paraId="58E1515B" w14:textId="77777777" w:rsidR="00003807" w:rsidRDefault="00003807" w:rsidP="00003807">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w:t>
      </w:r>
      <w:proofErr w:type="gramStart"/>
      <w:r>
        <w:t>term, and</w:t>
      </w:r>
      <w:proofErr w:type="gramEnd"/>
      <w:r>
        <w:t xml:space="preserve">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is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[28], with </w:t>
      </w:r>
      <m:oMath>
        <m:r>
          <w:rPr>
            <w:rFonts w:ascii="Cambria Math" w:hAnsi="Cambria Math"/>
          </w:rPr>
          <m:t>t</m:t>
        </m:r>
      </m:oMath>
      <w:r>
        <w:t xml:space="preserve"> representing calendar weeks. To account for the correlation between mortality risks across causes, the model incorporates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w:t>
      </w:r>
      <w:proofErr w:type="gramStart"/>
      <w:r>
        <w:t>.</w:t>
      </w:r>
      <w:proofErr w:type="gramEnd"/>
      <w:r>
        <w:t xml:space="preserve"> Correlations between causes were modeled with a Cholesky </w:t>
      </w:r>
      <w:proofErr w:type="gramStart"/>
      <w:r>
        <w:t>LKJ(</w:t>
      </w:r>
      <w:proofErr w:type="gramEnd"/>
      <w:r>
        <w:t xml:space="preserve">1) prior, which imposes </w:t>
      </w:r>
      <w:proofErr w:type="gramStart"/>
      <w:r>
        <w:t>no a</w:t>
      </w:r>
      <w:proofErr w:type="gramEnd"/>
      <w:r>
        <w:t xml:space="preserve"> priori preference on the strength or direction of the correlations.</w:t>
      </w:r>
    </w:p>
    <w:p w14:paraId="56FAE301" w14:textId="77777777" w:rsidR="00003807" w:rsidRDefault="00003807" w:rsidP="00003807">
      <w:pPr>
        <w:pStyle w:val="BodyText"/>
      </w:pPr>
      <w:r>
        <w:t>The model is specified as follows:</w:t>
      </w:r>
    </w:p>
    <w:p w14:paraId="71E37A1F" w14:textId="77777777" w:rsidR="00003807" w:rsidRPr="00075CD5" w:rsidRDefault="00003807" w:rsidP="00003807">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3ED0F285" w14:textId="77777777" w:rsidR="00003807" w:rsidRDefault="00003807" w:rsidP="00003807">
      <w:pPr>
        <w:pStyle w:val="FirstParagraph"/>
      </w:pPr>
      <w:proofErr w:type="gramStart"/>
      <w:r>
        <w:t>with</w:t>
      </w:r>
      <w:proofErr w:type="gramEnd"/>
    </w:p>
    <w:p w14:paraId="70F4AA83" w14:textId="77777777" w:rsidR="00003807" w:rsidRDefault="00003807" w:rsidP="00003807">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753E4764" w14:textId="77777777" w:rsidR="00003807" w:rsidRDefault="00003807" w:rsidP="00003807">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use </w:t>
      </w:r>
      <w:proofErr w:type="gramStart"/>
      <w:r>
        <w:t>a Poisson</w:t>
      </w:r>
      <w:proofErr w:type="gramEnd"/>
      <w:r>
        <w:t xml:space="preserve"> likelihood, this model accounts for potential overdispersion through its complex random-effect structure. </w:t>
      </w:r>
    </w:p>
    <w:p w14:paraId="7145C56E" w14:textId="77777777" w:rsidR="00003807" w:rsidRDefault="00003807" w:rsidP="00003807">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is designed to capture </w:t>
      </w:r>
      <w:r>
        <w:rPr>
          <w:i/>
          <w:iCs/>
        </w:rPr>
        <w:t>excess mortality</w:t>
      </w:r>
      <w:r>
        <w:t xml:space="preserve">—that is, unexplained or </w:t>
      </w:r>
      <w:r>
        <w:lastRenderedPageBreak/>
        <w:t xml:space="preserve">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1CB401C7" w14:textId="77777777" w:rsidR="00003807" w:rsidRDefault="00003807" w:rsidP="00003807">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0B4E9AA" w14:textId="77777777" w:rsidR="00003807" w:rsidRDefault="00003807" w:rsidP="00003807">
      <w:pPr>
        <w:pStyle w:val="FirstParagraph"/>
      </w:pPr>
      <w:r>
        <w:t xml:space="preserve"> We also reported aggregated estimates of excess mortality (i.e., </w:t>
      </w:r>
      <w:r>
        <w:rPr>
          <w:i/>
          <w:iCs/>
        </w:rPr>
        <w:t>all-cause excess mortality</w:t>
      </w:r>
      <w:r>
        <w:t>), across regions, across sexes and across time periods. This is simply obtained by adding posterior samples.</w:t>
      </w:r>
    </w:p>
    <w:bookmarkEnd w:id="3"/>
    <w:p w14:paraId="7774E556" w14:textId="39C55000" w:rsidR="00003807" w:rsidRDefault="00003807" w:rsidP="00003807">
      <w:pPr>
        <w:pStyle w:val="Heading2"/>
      </w:pPr>
      <w:r>
        <w:rPr>
          <w:rStyle w:val="SectionNumber"/>
        </w:rPr>
        <w:t>3</w:t>
      </w:r>
      <w:r>
        <w:rPr>
          <w:rStyle w:val="SectionNumber"/>
        </w:rPr>
        <w:t>.3</w:t>
      </w:r>
      <w:r>
        <w:tab/>
        <w:t>Further analysis</w:t>
      </w:r>
    </w:p>
    <w:p w14:paraId="5A8F187D" w14:textId="77777777" w:rsidR="00003807" w:rsidRDefault="00003807" w:rsidP="00003807">
      <w:pPr>
        <w:pStyle w:val="FirstParagraph"/>
      </w:pPr>
      <w:r>
        <w:t xml:space="preserve">We examined how excess deaths from specific causes were related over time to excess deaths from COVID-19 during 2020–21. To do this, we computed partial Pearson correlations between posterior samples of cause-specific excess deaths and COVID-19 deaths, while </w:t>
      </w:r>
      <w:proofErr w:type="gramStart"/>
      <w:r>
        <w:t>controlling for</w:t>
      </w:r>
      <w:proofErr w:type="gramEnd"/>
      <w:r>
        <w:t xml:space="preserve">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EAB642D" w14:textId="77777777" w:rsidR="00003807" w:rsidRDefault="00003807" w:rsidP="00003807">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[29]. </w:t>
      </w:r>
      <w:r w:rsidRPr="00075CD5">
        <w:t>Code is available at a public repository (link anonymized for review).</w:t>
      </w:r>
    </w:p>
    <w:p w14:paraId="7FAFE74C" w14:textId="5DAC0130" w:rsidR="00073879" w:rsidRDefault="00003807" w:rsidP="00003807">
      <w:pPr>
        <w:pStyle w:val="BodyText"/>
      </w:pPr>
      <w:r>
        <w:br w:type="page"/>
      </w:r>
    </w:p>
    <w:p w14:paraId="62869CE1" w14:textId="0F518B8C" w:rsidR="00073879" w:rsidRDefault="00003807">
      <w:pPr>
        <w:pStyle w:val="Heading1"/>
      </w:pPr>
      <w:bookmarkStart w:id="4" w:name="results"/>
      <w:bookmarkEnd w:id="1"/>
      <w:r>
        <w:rPr>
          <w:rStyle w:val="SectionNumber"/>
        </w:rPr>
        <w:lastRenderedPageBreak/>
        <w:t>4</w:t>
      </w:r>
      <w:r w:rsidR="00000000">
        <w:tab/>
        <w:t>Results</w:t>
      </w:r>
    </w:p>
    <w:p w14:paraId="613D5268" w14:textId="678C99DE" w:rsidR="00073879" w:rsidRDefault="00003807">
      <w:pPr>
        <w:pStyle w:val="Heading2"/>
      </w:pPr>
      <w:bookmarkStart w:id="5" w:name="distribution-of-deaths"/>
      <w:r>
        <w:rPr>
          <w:rStyle w:val="SectionNumber"/>
        </w:rPr>
        <w:t>4</w:t>
      </w:r>
      <w:r w:rsidR="00000000">
        <w:rPr>
          <w:rStyle w:val="SectionNumber"/>
        </w:rPr>
        <w:t>.1</w:t>
      </w:r>
      <w:r w:rsidR="00000000">
        <w:tab/>
        <w:t>Distribution of deaths</w:t>
      </w:r>
    </w:p>
    <w:p w14:paraId="088F447D" w14:textId="77777777" w:rsidR="00073879" w:rsidRDefault="00000000">
      <w:pPr>
        <w:pStyle w:val="FirstParagraph"/>
      </w:pPr>
      <w:r>
        <w:t>In Switzerland, deaths are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7B4327AE" w14:textId="169EDDB6" w:rsidR="00073879" w:rsidRDefault="00003807">
      <w:pPr>
        <w:pStyle w:val="Heading2"/>
      </w:pPr>
      <w:bookmarkStart w:id="6" w:name="prepandemic-mortality-trends"/>
      <w:bookmarkEnd w:id="5"/>
      <w:r>
        <w:rPr>
          <w:rStyle w:val="SectionNumber"/>
        </w:rPr>
        <w:t>4</w:t>
      </w:r>
      <w:r w:rsidR="00000000">
        <w:rPr>
          <w:rStyle w:val="SectionNumber"/>
        </w:rPr>
        <w:t>.2</w:t>
      </w:r>
      <w:r w:rsidR="00000000">
        <w:tab/>
      </w:r>
      <w:proofErr w:type="spellStart"/>
      <w:r w:rsidR="00000000">
        <w:t>Prepandemic</w:t>
      </w:r>
      <w:proofErr w:type="spellEnd"/>
      <w:r w:rsidR="00000000">
        <w:t xml:space="preserve"> mortality trends</w:t>
      </w:r>
    </w:p>
    <w:p w14:paraId="5A5627DC" w14:textId="539186F2" w:rsidR="00073879" w:rsidRDefault="00000000">
      <w:pPr>
        <w:pStyle w:val="FirstParagraph"/>
      </w:pPr>
      <w:r>
        <w:t xml:space="preserve">The model captures the seasonal and long-term trends in cause-specific mortality between 2011 and 2019 (Fig 2A for individuals aged 80+, and Fig S1–S4 in </w:t>
      </w:r>
      <w:r w:rsidR="00547615">
        <w:t>Supplementary File 1</w:t>
      </w:r>
      <w:r>
        <w:t xml:space="preserve"> for other age groups), while rare episodes of excess mortality are identified, such as in the winters of 2014/15 and 2016/17. We observe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occurs consistently across causes between January and February. During the pre-pandemic period (2011–2019), observed peak timings align closely with these expectations. However, during the pandemic years, we observe a marked shift: mortality peaks occur earlier than expected. In addition, the model reveals strong positive correlations in cause-specific excess mortality, mostly among individuals aged 80 and over (Fig 2B). Specifically, excess deaths from respiratory diseases, mental or neurological disorders, and cardiovascular diseases are highly correlated, with pairwise correlations exceeding 0.8.</w:t>
      </w:r>
    </w:p>
    <w:p w14:paraId="36440142" w14:textId="1E8E228B" w:rsidR="00073879" w:rsidRDefault="00003807">
      <w:pPr>
        <w:pStyle w:val="Heading2"/>
      </w:pPr>
      <w:bookmarkStart w:id="7" w:name="covid-19-mortality"/>
      <w:bookmarkEnd w:id="6"/>
      <w:r>
        <w:rPr>
          <w:rStyle w:val="SectionNumber"/>
        </w:rPr>
        <w:t>4</w:t>
      </w:r>
      <w:r w:rsidR="00000000">
        <w:rPr>
          <w:rStyle w:val="SectionNumber"/>
        </w:rPr>
        <w:t>.3</w:t>
      </w:r>
      <w:r w:rsidR="00000000">
        <w:tab/>
        <w:t>COVID-19 mortality</w:t>
      </w:r>
    </w:p>
    <w:p w14:paraId="69F10EC0" w14:textId="77777777" w:rsidR="00073879" w:rsidRDefault="00000000">
      <w:pPr>
        <w:pStyle w:val="FirstParagraph"/>
      </w:pPr>
      <w:r>
        <w:t>The model also captures all-cause mortality between 2011 and 2019, obtained by aggregating the expected cause-specific mortality. Among individuals aged 65 and over, the impact of the first two COVID-19 waves—-spring 2020 and fall/winter 2020–21—-clearly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observe that mortality from other causes was lower than expected in 2020–21 for people aged 65 and over.</w:t>
      </w:r>
    </w:p>
    <w:p w14:paraId="5FCFCA6B" w14:textId="3EBD555B" w:rsidR="00073879" w:rsidRDefault="00003807">
      <w:pPr>
        <w:pStyle w:val="Heading2"/>
      </w:pPr>
      <w:bookmarkStart w:id="8" w:name="X2d11acc4875a576e3781fb4a2d0c06e2991d12c"/>
      <w:bookmarkEnd w:id="7"/>
      <w:r>
        <w:rPr>
          <w:rStyle w:val="SectionNumber"/>
        </w:rPr>
        <w:t>4</w:t>
      </w:r>
      <w:r w:rsidR="00000000">
        <w:rPr>
          <w:rStyle w:val="SectionNumber"/>
        </w:rPr>
        <w:t>.4</w:t>
      </w:r>
      <w:r w:rsidR="00000000">
        <w:tab/>
        <w:t>Cause-specific excess mortality in 2020-21</w:t>
      </w:r>
    </w:p>
    <w:p w14:paraId="41954F93" w14:textId="0F5809B7" w:rsidR="00073879" w:rsidRDefault="00000000">
      <w:pPr>
        <w:pStyle w:val="FirstParagraph"/>
      </w:pPr>
      <w:r>
        <w:t xml:space="preserve">Among individuals aged below 64, almost all cumulative mortalities remained within expected levels over 2020–21, suggesting no evidence of excess mortality (Fig 4A&amp;B and Fig S5-S9 in </w:t>
      </w:r>
      <w:r w:rsidR="00547615">
        <w:t>Supplementary File 1</w:t>
      </w:r>
      <w:r>
        <w:t>). A slight excess in suicides was observed among 0-17 over 2020-21 (16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remained within the expected range, although a localized excess was noted during the autumn 2020 wave (+14%).</w:t>
      </w:r>
    </w:p>
    <w:p w14:paraId="181A990A" w14:textId="77777777" w:rsidR="00073879" w:rsidRDefault="00000000">
      <w:pPr>
        <w:pStyle w:val="BodyText"/>
      </w:pPr>
      <w:r>
        <w:lastRenderedPageBreak/>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4F6DD7EB" w14:textId="71908145" w:rsidR="00073879"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w:t>
      </w:r>
      <w:r w:rsidR="00547615">
        <w:t>Supplementary File 1</w:t>
      </w:r>
      <w:r>
        <w:t xml:space="preserve">). When stratifying deaths with cancer by survival category, we observed that cancers with high survival exhibited the largest increase during this period, particularly among individuals aged 80 and over (Fig S10B in </w:t>
      </w:r>
      <w:r w:rsidR="00547615">
        <w:t>Supplementary File 1</w:t>
      </w:r>
      <w:r>
        <w:t xml:space="preserve">).  </w:t>
      </w:r>
    </w:p>
    <w:p w14:paraId="4401308E" w14:textId="594B5EF5" w:rsidR="00073879" w:rsidRDefault="00003807">
      <w:pPr>
        <w:pStyle w:val="Heading2"/>
      </w:pPr>
      <w:bookmarkStart w:id="9" w:name="Xd537387f716daf71b655cf5953dad128feb954d"/>
      <w:bookmarkEnd w:id="8"/>
      <w:r>
        <w:rPr>
          <w:rStyle w:val="SectionNumber"/>
        </w:rPr>
        <w:t>4</w:t>
      </w:r>
      <w:r w:rsidR="00000000">
        <w:rPr>
          <w:rStyle w:val="SectionNumber"/>
        </w:rPr>
        <w:t>.5</w:t>
      </w:r>
      <w:r w:rsidR="00000000">
        <w:tab/>
        <w:t>Correlation with respiratory diseases in 2020-21</w:t>
      </w:r>
    </w:p>
    <w:p w14:paraId="7CB09DC9" w14:textId="77777777" w:rsidR="00073879"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1EA21EEF" w14:textId="77777777" w:rsidR="00073879" w:rsidRDefault="00000000">
      <w:r>
        <w:br w:type="page"/>
      </w:r>
    </w:p>
    <w:p w14:paraId="4C89747D" w14:textId="3A077AC5" w:rsidR="00073879" w:rsidRDefault="00003807">
      <w:pPr>
        <w:pStyle w:val="Heading1"/>
      </w:pPr>
      <w:bookmarkStart w:id="10" w:name="discussion"/>
      <w:bookmarkEnd w:id="4"/>
      <w:bookmarkEnd w:id="9"/>
      <w:r>
        <w:rPr>
          <w:rStyle w:val="SectionNumber"/>
        </w:rPr>
        <w:lastRenderedPageBreak/>
        <w:t>5</w:t>
      </w:r>
      <w:r w:rsidR="00000000">
        <w:tab/>
        <w:t>Discussion</w:t>
      </w:r>
    </w:p>
    <w:p w14:paraId="5046CC0E" w14:textId="5D160544" w:rsidR="00073879" w:rsidRDefault="00003807">
      <w:pPr>
        <w:pStyle w:val="Heading2"/>
      </w:pPr>
      <w:bookmarkStart w:id="11" w:name="summary"/>
      <w:r>
        <w:rPr>
          <w:rStyle w:val="SectionNumber"/>
        </w:rPr>
        <w:t>5</w:t>
      </w:r>
      <w:r w:rsidR="00000000">
        <w:rPr>
          <w:rStyle w:val="SectionNumber"/>
        </w:rPr>
        <w:t>.1</w:t>
      </w:r>
      <w:r w:rsidR="00000000">
        <w:tab/>
        <w:t>Summary</w:t>
      </w:r>
    </w:p>
    <w:p w14:paraId="470F1D76" w14:textId="77777777" w:rsidR="00073879"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29EA12AF" w14:textId="70B23845" w:rsidR="00073879" w:rsidRDefault="00003807">
      <w:pPr>
        <w:pStyle w:val="Heading2"/>
      </w:pPr>
      <w:bookmarkStart w:id="12" w:name="Xacf3f3f9a295da438b4923d264beecd65af4f57"/>
      <w:bookmarkEnd w:id="11"/>
      <w:r>
        <w:rPr>
          <w:rStyle w:val="SectionNumber"/>
        </w:rPr>
        <w:t>5</w:t>
      </w:r>
      <w:r w:rsidR="00000000">
        <w:rPr>
          <w:rStyle w:val="SectionNumber"/>
        </w:rPr>
        <w:t>.2</w:t>
      </w:r>
      <w:r w:rsidR="00000000">
        <w:tab/>
        <w:t>Potential explanations for the observed patterns: 4 types of disruption</w:t>
      </w:r>
    </w:p>
    <w:p w14:paraId="13DB7CBF" w14:textId="77777777" w:rsidR="00073879"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664D7590" w14:textId="77777777" w:rsidR="00073879" w:rsidRDefault="00000000">
      <w:pPr>
        <w:pStyle w:val="BodyText"/>
      </w:pPr>
      <w:r>
        <w:t>Second, sequelae of SARS-CoV-2 infection may increase other cause-specific mortality. Cohort studies have documented a higher individual risk of delayed complications—particularly cardiovascular events—months after infection [15], [16]. Population-level analyses show that these delayed effects contributed to sustained excess cardiovascular mortality in 2021 in countries such as the United States [4] and the United Kingdom [17]. Such effects are difficult to detect in the relatively healthy Swiss population and may overlap with other disruptions—such as misclassified COVID-19 deaths or mortality displacement—complicating interpretations.</w:t>
      </w:r>
    </w:p>
    <w:p w14:paraId="44A40EC5" w14:textId="77777777" w:rsidR="00073879"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increase in mortality among individuals with low-survival cancers, where the risks of dying from cancer or COVID-19 directly compete. Such results have also been reproduced theoretically through simulation-based modelling work [18]. Finally, the observed negative correlation between cancer-related excess mortality and COVID-19 deaths, which was also reported spatially across US states, further supports this interpretation [13].</w:t>
      </w:r>
    </w:p>
    <w:p w14:paraId="64D78643" w14:textId="77777777" w:rsidR="00073879" w:rsidRDefault="00000000">
      <w:pPr>
        <w:pStyle w:val="BodyText"/>
      </w:pPr>
      <w:r>
        <w:lastRenderedPageBreak/>
        <w:t xml:space="preserve">Finally, pandemic response—both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death-deficits observed in early 2021 among the 65–79 and 80 + age groups. On the other hand, the implementation of NPIs has been also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[19]. </w:t>
      </w:r>
    </w:p>
    <w:p w14:paraId="3B46AB5B" w14:textId="3E439886" w:rsidR="00073879" w:rsidRDefault="00003807">
      <w:pPr>
        <w:pStyle w:val="Heading2"/>
      </w:pPr>
      <w:bookmarkStart w:id="13" w:name="cross-cause-correlation"/>
      <w:bookmarkEnd w:id="12"/>
      <w:r>
        <w:rPr>
          <w:rStyle w:val="SectionNumber"/>
        </w:rPr>
        <w:t>5</w:t>
      </w:r>
      <w:r w:rsidR="00000000">
        <w:rPr>
          <w:rStyle w:val="SectionNumber"/>
        </w:rPr>
        <w:t>.3</w:t>
      </w:r>
      <w:r w:rsidR="00000000">
        <w:tab/>
        <w:t>Cross-cause correlation</w:t>
      </w:r>
    </w:p>
    <w:p w14:paraId="212894EE" w14:textId="77777777" w:rsidR="00073879" w:rsidRDefault="00000000">
      <w:pPr>
        <w:pStyle w:val="FirstParagraph"/>
      </w:pPr>
      <w:r>
        <w:t>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infection-related (either through biologically triggered events or misclassification) [20], [21]. While extreme weather or pollution could still contribute, previous studies have suggested that they only explain a minor fraction of the observed excess mortality [23].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2CE64441" w14:textId="31B69C7C" w:rsidR="00073879" w:rsidRDefault="00003807">
      <w:pPr>
        <w:pStyle w:val="Heading2"/>
      </w:pPr>
      <w:bookmarkStart w:id="14" w:name="strengths-limitations-and-perspectives"/>
      <w:bookmarkEnd w:id="13"/>
      <w:r>
        <w:rPr>
          <w:rStyle w:val="SectionNumber"/>
        </w:rPr>
        <w:t>5.</w:t>
      </w:r>
      <w:r w:rsidR="00000000">
        <w:rPr>
          <w:rStyle w:val="SectionNumber"/>
        </w:rPr>
        <w:t>4</w:t>
      </w:r>
      <w:r w:rsidR="00000000">
        <w:tab/>
        <w:t>Strengths, limitations and perspectives</w:t>
      </w:r>
    </w:p>
    <w:p w14:paraId="18D54AA1" w14:textId="77777777" w:rsidR="00073879" w:rsidRDefault="00000000">
      <w:pPr>
        <w:pStyle w:val="FirstParagraph"/>
      </w:pPr>
      <w:r>
        <w:t>The study has several strengths. We studied the COVID-19 disruption, which temporarily decoupled normally synchronized causes of death, to examine how they are linked. We built a multi-dimensional Bayesian model that captures population change, long-term trends, seasonal patterns, and cross-cause correlation. Gaussian processes give this model more flexibility than generalized linear models with splines or seasonal ARIMA, resulting in sharper estimates and more realistic uncertainty [4], [9]–[12], [24]. Other approaches that have formally modeled cross-cause correlation, used tensors or multi-cause Gaussian processes, but their complexity often prevents a clear understanding of how cause-specific mortalities are related [8], [25]. Our Bayesian framework explicitly propagates uncertainty, a critical feature when excess-mortality estimates depend on counterfactual predictions. The analysis also benefits from Switzerland’s high-quality death-certificate data, which follow consistent coding guidelines and achieve near-complete coverage. Weekly aggregation preserves high temporal granularity and allowed us to detect fine-scale synchrony between causes.</w:t>
      </w:r>
    </w:p>
    <w:p w14:paraId="499CD43C" w14:textId="77777777" w:rsidR="00073879" w:rsidRDefault="00000000">
      <w:pPr>
        <w:pStyle w:val="BodyText"/>
      </w:pPr>
      <w:r>
        <w:t xml:space="preserve">The study also has limitations. First, most analyses rely solely on the unique underlying cause of death, which may overlook mechanisms such as mortality displacement or competing risks. The additional analysis focusing on cancer illustrates both this limitation and how incorporating multiple cause death data can provide a more complete picture of mortality dynamics. Models </w:t>
      </w:r>
      <w:r>
        <w:lastRenderedPageBreak/>
        <w:t>explicitly representing these 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[5], [26].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2086E228" w14:textId="77777777" w:rsidR="00073879" w:rsidRDefault="00000000">
      <w:pPr>
        <w:pStyle w:val="BodyText"/>
      </w:pPr>
      <w:r>
        <w:t>In the future, cause-specific mortality data could serve different purposes. First, it shows how disruption in one cause—such as a respiratory virus epidemic—can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2023 and 2024 will clarify whether the different effects responsible for the disruption of mortality persists after 2021.</w:t>
      </w:r>
    </w:p>
    <w:p w14:paraId="719EE2A2" w14:textId="5E65FD88" w:rsidR="00073879" w:rsidRDefault="00003807">
      <w:pPr>
        <w:pStyle w:val="Heading2"/>
      </w:pPr>
      <w:bookmarkStart w:id="15" w:name="conclusion"/>
      <w:bookmarkEnd w:id="14"/>
      <w:r>
        <w:rPr>
          <w:rStyle w:val="SectionNumber"/>
        </w:rPr>
        <w:t>5</w:t>
      </w:r>
      <w:r w:rsidR="00000000">
        <w:rPr>
          <w:rStyle w:val="SectionNumber"/>
        </w:rPr>
        <w:t>.5</w:t>
      </w:r>
      <w:r w:rsidR="00000000">
        <w:tab/>
        <w:t>Conclusion</w:t>
      </w:r>
    </w:p>
    <w:p w14:paraId="77695357" w14:textId="77777777" w:rsidR="00073879"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67A486EA" w14:textId="4B5665C5" w:rsidR="00073879" w:rsidRDefault="00000000">
      <w:bookmarkStart w:id="16" w:name="methods"/>
      <w:bookmarkStart w:id="17" w:name="further-analysis"/>
      <w:bookmarkEnd w:id="10"/>
      <w:bookmarkEnd w:id="15"/>
      <w:r>
        <w:br w:type="page"/>
      </w:r>
    </w:p>
    <w:p w14:paraId="54101637" w14:textId="77777777" w:rsidR="00073879" w:rsidRDefault="00000000">
      <w:pPr>
        <w:pStyle w:val="Heading1"/>
      </w:pPr>
      <w:bookmarkStart w:id="18" w:name="references"/>
      <w:bookmarkEnd w:id="16"/>
      <w:bookmarkEnd w:id="17"/>
      <w:r>
        <w:lastRenderedPageBreak/>
        <w:t>References</w:t>
      </w:r>
    </w:p>
    <w:p w14:paraId="08310B7C" w14:textId="77777777" w:rsidR="00073879" w:rsidRDefault="00000000">
      <w:pPr>
        <w:pStyle w:val="Bibliography"/>
      </w:pPr>
      <w:bookmarkStart w:id="19" w:name="ref-olsen_decreased_2020"/>
      <w:bookmarkStart w:id="20"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7">
        <w:r>
          <w:rPr>
            <w:rStyle w:val="Hyperlink"/>
          </w:rPr>
          <w:t>10.1111/ajt.16381</w:t>
        </w:r>
      </w:hyperlink>
      <w:r>
        <w:t>.</w:t>
      </w:r>
    </w:p>
    <w:p w14:paraId="5C923CCE" w14:textId="77777777" w:rsidR="00073879" w:rsidRDefault="00000000">
      <w:pPr>
        <w:pStyle w:val="Bibliography"/>
      </w:pPr>
      <w:bookmarkStart w:id="21" w:name="ref-lantos_impact_2024"/>
      <w:bookmarkEnd w:id="19"/>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8">
        <w:r>
          <w:rPr>
            <w:rStyle w:val="Hyperlink"/>
          </w:rPr>
          <w:t>10.1038/s41598-024-68604-3</w:t>
        </w:r>
      </w:hyperlink>
      <w:r>
        <w:t>.</w:t>
      </w:r>
    </w:p>
    <w:p w14:paraId="7133A3D8" w14:textId="77777777" w:rsidR="00073879" w:rsidRDefault="00000000">
      <w:pPr>
        <w:pStyle w:val="Bibliography"/>
      </w:pPr>
      <w:bookmarkStart w:id="22" w:name="ref-maringe_impact_2020"/>
      <w:bookmarkEnd w:id="21"/>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9">
        <w:r>
          <w:rPr>
            <w:rStyle w:val="Hyperlink"/>
          </w:rPr>
          <w:t>10.1016/S1470-2045(20)30388-0</w:t>
        </w:r>
      </w:hyperlink>
      <w:r>
        <w:t>.</w:t>
      </w:r>
    </w:p>
    <w:p w14:paraId="65217CB8" w14:textId="77777777" w:rsidR="00073879" w:rsidRDefault="00000000">
      <w:pPr>
        <w:pStyle w:val="Bibliography"/>
      </w:pPr>
      <w:bookmarkStart w:id="23" w:name="ref-han_excess_2023"/>
      <w:bookmarkEnd w:id="22"/>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0">
        <w:r>
          <w:rPr>
            <w:rStyle w:val="Hyperlink"/>
          </w:rPr>
          <w:t>10.1038/s44161-023-00220-2</w:t>
        </w:r>
      </w:hyperlink>
      <w:r>
        <w:t>.</w:t>
      </w:r>
    </w:p>
    <w:p w14:paraId="50BA845F" w14:textId="77777777" w:rsidR="00073879" w:rsidRDefault="00000000">
      <w:pPr>
        <w:pStyle w:val="Bibliography"/>
      </w:pPr>
      <w:bookmarkStart w:id="24" w:name="ref-holleyman_adjusting_2023"/>
      <w:bookmarkEnd w:id="23"/>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1">
        <w:r>
          <w:rPr>
            <w:rStyle w:val="Hyperlink"/>
          </w:rPr>
          <w:t>10.1186/s12874-023-01984-8</w:t>
        </w:r>
      </w:hyperlink>
      <w:r>
        <w:t>.</w:t>
      </w:r>
    </w:p>
    <w:p w14:paraId="1E750F13" w14:textId="77777777" w:rsidR="00073879" w:rsidRDefault="00000000">
      <w:pPr>
        <w:pStyle w:val="Bibliography"/>
      </w:pPr>
      <w:bookmarkStart w:id="25" w:name="ref-riou_direct_2023"/>
      <w:bookmarkEnd w:id="24"/>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2">
        <w:r>
          <w:rPr>
            <w:rStyle w:val="Hyperlink"/>
          </w:rPr>
          <w:t>10.1038/s41467-022-35770-9</w:t>
        </w:r>
      </w:hyperlink>
      <w:r>
        <w:t>.</w:t>
      </w:r>
    </w:p>
    <w:p w14:paraId="0BD00839" w14:textId="77777777" w:rsidR="00073879" w:rsidRDefault="00000000">
      <w:pPr>
        <w:pStyle w:val="Bibliography"/>
      </w:pPr>
      <w:bookmarkStart w:id="26" w:name="ref-beaney_excess_2020"/>
      <w:bookmarkEnd w:id="25"/>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3">
        <w:r>
          <w:rPr>
            <w:rStyle w:val="Hyperlink"/>
          </w:rPr>
          <w:t>10.1177/0141076820956802</w:t>
        </w:r>
      </w:hyperlink>
      <w:r>
        <w:t>.</w:t>
      </w:r>
    </w:p>
    <w:p w14:paraId="46D82EA6" w14:textId="77777777" w:rsidR="00073879" w:rsidRDefault="00000000">
      <w:pPr>
        <w:pStyle w:val="Bibliography"/>
      </w:pPr>
      <w:bookmarkStart w:id="27" w:name="ref-huynh_joint_2024"/>
      <w:bookmarkEnd w:id="26"/>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4">
        <w:r>
          <w:rPr>
            <w:rStyle w:val="Hyperlink"/>
          </w:rPr>
          <w:t>10.1017/S1748499523000118</w:t>
        </w:r>
      </w:hyperlink>
      <w:r>
        <w:t>.</w:t>
      </w:r>
    </w:p>
    <w:p w14:paraId="6E827C21" w14:textId="77777777" w:rsidR="00073879" w:rsidRDefault="00000000">
      <w:pPr>
        <w:pStyle w:val="Bibliography"/>
      </w:pPr>
      <w:bookmarkStart w:id="28" w:name="ref-pizzato_relationship_2025"/>
      <w:bookmarkEnd w:id="27"/>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5">
        <w:r>
          <w:rPr>
            <w:rStyle w:val="Hyperlink"/>
          </w:rPr>
          <w:t>10.1093/ije/dyaf006</w:t>
        </w:r>
      </w:hyperlink>
      <w:r>
        <w:t>.</w:t>
      </w:r>
    </w:p>
    <w:p w14:paraId="1EE0F86C" w14:textId="77777777" w:rsidR="00073879" w:rsidRDefault="00000000">
      <w:pPr>
        <w:pStyle w:val="Bibliography"/>
      </w:pPr>
      <w:bookmarkStart w:id="29" w:name="ref-paglino_cause-specific_2024"/>
      <w:bookmarkEnd w:id="28"/>
      <w:r>
        <w:t xml:space="preserve">[10] </w:t>
      </w:r>
      <w:r>
        <w:tab/>
        <w:t>E. Paglino, “Cause-Specific Excess Mortality During the COVID-19 Pandemic,” 2024.</w:t>
      </w:r>
    </w:p>
    <w:p w14:paraId="37A71995" w14:textId="77777777" w:rsidR="00073879" w:rsidRDefault="00000000">
      <w:pPr>
        <w:pStyle w:val="Bibliography"/>
      </w:pPr>
      <w:bookmarkStart w:id="30" w:name="ref-beeks_cause-specific_2024"/>
      <w:bookmarkEnd w:id="29"/>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6">
        <w:r>
          <w:rPr>
            <w:rStyle w:val="Hyperlink"/>
          </w:rPr>
          <w:t>10.1007/s44197-024-00242-4</w:t>
        </w:r>
      </w:hyperlink>
      <w:r>
        <w:t>.</w:t>
      </w:r>
    </w:p>
    <w:p w14:paraId="208D3482" w14:textId="77777777" w:rsidR="00073879" w:rsidRDefault="00000000">
      <w:pPr>
        <w:pStyle w:val="Bibliography"/>
      </w:pPr>
      <w:bookmarkStart w:id="31" w:name="ref-nilsson_cause-specific_2024"/>
      <w:bookmarkEnd w:id="30"/>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7">
        <w:r>
          <w:rPr>
            <w:rStyle w:val="Hyperlink"/>
          </w:rPr>
          <w:t>10.1007/s10654-024-01154-0</w:t>
        </w:r>
      </w:hyperlink>
      <w:r>
        <w:t>.</w:t>
      </w:r>
    </w:p>
    <w:p w14:paraId="64242EB9" w14:textId="77777777" w:rsidR="00073879" w:rsidRDefault="00000000">
      <w:pPr>
        <w:pStyle w:val="Bibliography"/>
      </w:pPr>
      <w:bookmarkStart w:id="32" w:name="ref-luck_associations_2023"/>
      <w:bookmarkEnd w:id="31"/>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18">
        <w:r>
          <w:rPr>
            <w:rStyle w:val="Hyperlink"/>
          </w:rPr>
          <w:t>10.1371/journal.pone.0281683</w:t>
        </w:r>
      </w:hyperlink>
      <w:r>
        <w:t>.</w:t>
      </w:r>
    </w:p>
    <w:p w14:paraId="5B2164B1" w14:textId="77777777" w:rsidR="00073879" w:rsidRDefault="00000000">
      <w:pPr>
        <w:pStyle w:val="Bibliography"/>
      </w:pPr>
      <w:bookmarkStart w:id="33" w:name="ref-weitkunat_mortality_2021"/>
      <w:bookmarkEnd w:id="32"/>
      <w:r>
        <w:t xml:space="preserve">[14] </w:t>
      </w:r>
      <w:r>
        <w:tab/>
        <w:t xml:space="preserve">R. Weitkunat, C. Junker, S. Caviezel, and K. Fehst, “Mortality monitoring in Switzerland,” </w:t>
      </w:r>
      <w:r>
        <w:rPr>
          <w:i/>
          <w:iCs/>
        </w:rPr>
        <w:t>Swiss Medical Weekly</w:t>
      </w:r>
      <w:r>
        <w:t xml:space="preserve">, vol. 151, no. 3738, pp. w30030–w30030, Sep. 2021, doi: </w:t>
      </w:r>
      <w:hyperlink r:id="rId19">
        <w:r>
          <w:rPr>
            <w:rStyle w:val="Hyperlink"/>
          </w:rPr>
          <w:t>10.4414/SMW.2021.w30030</w:t>
        </w:r>
      </w:hyperlink>
      <w:r>
        <w:t>.</w:t>
      </w:r>
    </w:p>
    <w:p w14:paraId="2B20D350" w14:textId="77777777" w:rsidR="00073879" w:rsidRDefault="00000000">
      <w:pPr>
        <w:pStyle w:val="Bibliography"/>
      </w:pPr>
      <w:bookmarkStart w:id="34" w:name="ref-cai_three-year_2024"/>
      <w:bookmarkEnd w:id="33"/>
      <w:r>
        <w:t xml:space="preserve">[15] </w:t>
      </w:r>
      <w:r>
        <w:tab/>
        <w:t xml:space="preserve">M. Cai, Y. Xie, E. J. Topol, and Z. Al-Aly, “Three-year outcomes of post-acute sequelae of COVID-19,” </w:t>
      </w:r>
      <w:r>
        <w:rPr>
          <w:i/>
          <w:iCs/>
        </w:rPr>
        <w:t>Nature Medicine</w:t>
      </w:r>
      <w:r>
        <w:t xml:space="preserve">, vol. 30, no. 6, pp. 1564–1573, Jun. 2024, doi: </w:t>
      </w:r>
      <w:hyperlink r:id="rId20">
        <w:r>
          <w:rPr>
            <w:rStyle w:val="Hyperlink"/>
          </w:rPr>
          <w:t>10.1038/s41591-024-02987-8</w:t>
        </w:r>
      </w:hyperlink>
      <w:r>
        <w:t>.</w:t>
      </w:r>
    </w:p>
    <w:p w14:paraId="255764F4" w14:textId="77777777" w:rsidR="00073879" w:rsidRDefault="00000000">
      <w:pPr>
        <w:pStyle w:val="Bibliography"/>
      </w:pPr>
      <w:bookmarkStart w:id="35" w:name="ref-xie_long-term_2022"/>
      <w:bookmarkEnd w:id="34"/>
      <w:r>
        <w:t xml:space="preserve">[16] </w:t>
      </w:r>
      <w:r>
        <w:tab/>
        <w:t xml:space="preserve">Y. Xie, E. Xu, B. Bowe, and Z. Al-Aly, “Long-term cardiovascular outcomes of COVID-19,” </w:t>
      </w:r>
      <w:r>
        <w:rPr>
          <w:i/>
          <w:iCs/>
        </w:rPr>
        <w:t>Nature Medicine</w:t>
      </w:r>
      <w:r>
        <w:t xml:space="preserve">, vol. 28, no. 3, pp. 583–590, 2022, doi: </w:t>
      </w:r>
      <w:hyperlink r:id="rId21">
        <w:r>
          <w:rPr>
            <w:rStyle w:val="Hyperlink"/>
          </w:rPr>
          <w:t>10.1038/s41591-022-01689-3</w:t>
        </w:r>
      </w:hyperlink>
      <w:r>
        <w:t>.</w:t>
      </w:r>
    </w:p>
    <w:p w14:paraId="24C8A3A8" w14:textId="77777777" w:rsidR="00073879" w:rsidRDefault="00000000">
      <w:pPr>
        <w:pStyle w:val="Bibliography"/>
      </w:pPr>
      <w:bookmarkStart w:id="36" w:name="Xa64b14668c31051f82d307ce3ff528ea10a2cb9"/>
      <w:bookmarkEnd w:id="35"/>
      <w:r>
        <w:t xml:space="preserve">[17] </w:t>
      </w:r>
      <w:r>
        <w:tab/>
        <w:t>B. H. Foundation, “Excess deaths involving CVD in England since the onset of the Covid-19 pandemic: An analysis and explainer.”</w:t>
      </w:r>
    </w:p>
    <w:p w14:paraId="403B34A8" w14:textId="77777777" w:rsidR="00073879" w:rsidRDefault="00000000">
      <w:pPr>
        <w:pStyle w:val="Bibliography"/>
      </w:pPr>
      <w:bookmarkStart w:id="37" w:name="ref-hansen_disentangling_2024"/>
      <w:bookmarkEnd w:id="36"/>
      <w:r>
        <w:t xml:space="preserve">[18] </w:t>
      </w:r>
      <w:r>
        <w:tab/>
        <w:t xml:space="preserve">C. L. Hansen, C. Viboud, and L. Simonsen, “Disentangling the relationship between cancer mortality and COVID-19 in the US,” </w:t>
      </w:r>
      <w:r>
        <w:rPr>
          <w:i/>
          <w:iCs/>
        </w:rPr>
        <w:t>eLife</w:t>
      </w:r>
      <w:r>
        <w:t xml:space="preserve">, vol. 13, Jul. 2024, doi: </w:t>
      </w:r>
      <w:hyperlink r:id="rId22">
        <w:r>
          <w:rPr>
            <w:rStyle w:val="Hyperlink"/>
          </w:rPr>
          <w:t>10.7554/eLife.93758.2</w:t>
        </w:r>
      </w:hyperlink>
      <w:r>
        <w:t>.</w:t>
      </w:r>
    </w:p>
    <w:p w14:paraId="3A5FD597" w14:textId="77777777" w:rsidR="00073879" w:rsidRDefault="00000000">
      <w:pPr>
        <w:pStyle w:val="Bibliography"/>
      </w:pPr>
      <w:bookmarkStart w:id="38" w:name="ref-brunner_comparative_2025"/>
      <w:bookmarkEnd w:id="37"/>
      <w:r>
        <w:t xml:space="preserve">[19]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23">
        <w:r>
          <w:rPr>
            <w:rStyle w:val="Hyperlink"/>
          </w:rPr>
          <w:t>10.1186/s12885-025-13818-5</w:t>
        </w:r>
      </w:hyperlink>
      <w:r>
        <w:t>.</w:t>
      </w:r>
    </w:p>
    <w:p w14:paraId="0991E36A" w14:textId="77777777" w:rsidR="00073879" w:rsidRDefault="00000000">
      <w:pPr>
        <w:pStyle w:val="Bibliography"/>
      </w:pPr>
      <w:bookmarkStart w:id="39" w:name="ref-fares_winter_2013"/>
      <w:bookmarkEnd w:id="38"/>
      <w:r>
        <w:t xml:space="preserve">[20] </w:t>
      </w:r>
      <w:r>
        <w:tab/>
        <w:t xml:space="preserve">A. Fares, “Winter Cardiovascular Diseases Phenomenon,” </w:t>
      </w:r>
      <w:r>
        <w:rPr>
          <w:i/>
          <w:iCs/>
        </w:rPr>
        <w:t>North American Journal of Medical Sciences</w:t>
      </w:r>
      <w:r>
        <w:t xml:space="preserve">, vol. 5, no. 4, pp. 266–279, Apr. 2013, doi: </w:t>
      </w:r>
      <w:hyperlink r:id="rId24">
        <w:r>
          <w:rPr>
            <w:rStyle w:val="Hyperlink"/>
          </w:rPr>
          <w:t>10.4103/1947-2714.110430</w:t>
        </w:r>
      </w:hyperlink>
      <w:r>
        <w:t>.</w:t>
      </w:r>
    </w:p>
    <w:p w14:paraId="3CCE2004" w14:textId="77777777" w:rsidR="00073879" w:rsidRDefault="00000000">
      <w:pPr>
        <w:pStyle w:val="Bibliography"/>
      </w:pPr>
      <w:bookmarkStart w:id="40" w:name="ref-warren-gash_influenza_2009"/>
      <w:bookmarkEnd w:id="39"/>
      <w:r>
        <w:t xml:space="preserve">[21]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25">
        <w:r>
          <w:rPr>
            <w:rStyle w:val="Hyperlink"/>
          </w:rPr>
          <w:t>10.1016/S1473-3099(09)70233-6</w:t>
        </w:r>
      </w:hyperlink>
      <w:r>
        <w:t>.</w:t>
      </w:r>
    </w:p>
    <w:p w14:paraId="4AAF105F" w14:textId="77777777" w:rsidR="00073879" w:rsidRDefault="00000000">
      <w:pPr>
        <w:pStyle w:val="Bibliography"/>
      </w:pPr>
      <w:bookmarkStart w:id="41" w:name="ref-andrews_estimating_2025"/>
      <w:bookmarkEnd w:id="40"/>
      <w:r>
        <w:t xml:space="preserve">[22] </w:t>
      </w:r>
      <w:r>
        <w:tab/>
        <w:t>N. Andrews and C. Watson, “Estimating the contribution of influenza, COVID-19 and extreme cold weather to excess mortality: A working paper update for 2024,” 2025.</w:t>
      </w:r>
    </w:p>
    <w:p w14:paraId="3913DAF6" w14:textId="77777777" w:rsidR="00073879" w:rsidRDefault="00000000">
      <w:pPr>
        <w:pStyle w:val="Bibliography"/>
      </w:pPr>
      <w:bookmarkStart w:id="42" w:name="ref-nielsen_excess_2011"/>
      <w:bookmarkEnd w:id="41"/>
      <w:r>
        <w:t xml:space="preserve">[23]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26">
        <w:r>
          <w:rPr>
            <w:rStyle w:val="Hyperlink"/>
          </w:rPr>
          <w:t>10.1186/1471-2334-11-350</w:t>
        </w:r>
      </w:hyperlink>
      <w:r>
        <w:t>.</w:t>
      </w:r>
    </w:p>
    <w:p w14:paraId="49C3F006" w14:textId="77777777" w:rsidR="00073879" w:rsidRDefault="00000000">
      <w:pPr>
        <w:pStyle w:val="Bibliography"/>
      </w:pPr>
      <w:bookmarkStart w:id="43" w:name="ref-achilleos_excess_2022"/>
      <w:bookmarkEnd w:id="42"/>
      <w:r>
        <w:t xml:space="preserve">[24]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27">
        <w:r>
          <w:rPr>
            <w:rStyle w:val="Hyperlink"/>
          </w:rPr>
          <w:t>10.1093/ije/dyab123</w:t>
        </w:r>
      </w:hyperlink>
      <w:r>
        <w:t>.</w:t>
      </w:r>
    </w:p>
    <w:p w14:paraId="7CDBFC27" w14:textId="77777777" w:rsidR="00073879" w:rsidRDefault="00000000">
      <w:pPr>
        <w:pStyle w:val="Bibliography"/>
      </w:pPr>
      <w:bookmarkStart w:id="44" w:name="ref-zhang_age-related_2022"/>
      <w:bookmarkEnd w:id="43"/>
      <w:r>
        <w:lastRenderedPageBreak/>
        <w:t xml:space="preserve">[25]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28">
        <w:r>
          <w:rPr>
            <w:rStyle w:val="Hyperlink"/>
          </w:rPr>
          <w:t>10.3389/fmed.2021.757459</w:t>
        </w:r>
      </w:hyperlink>
      <w:r>
        <w:t>.</w:t>
      </w:r>
    </w:p>
    <w:p w14:paraId="1E656C8A" w14:textId="77777777" w:rsidR="00073879" w:rsidRDefault="00000000">
      <w:pPr>
        <w:pStyle w:val="Bibliography"/>
      </w:pPr>
      <w:bookmarkStart w:id="45" w:name="ref-carollo_competing_2024"/>
      <w:bookmarkEnd w:id="44"/>
      <w:r>
        <w:t xml:space="preserve">[26] </w:t>
      </w:r>
      <w:r>
        <w:tab/>
        <w:t xml:space="preserve">A. Carollo, H. Putter, P. H. C. Eilers, and J. Gampe, “Competing risks models with two time scales,” </w:t>
      </w:r>
      <w:r>
        <w:rPr>
          <w:i/>
          <w:iCs/>
        </w:rPr>
        <w:t>arXiv.org</w:t>
      </w:r>
      <w:r>
        <w:t xml:space="preserve">. Aug. 2024. Accessed: Jun. 19, 2025. [Online]. Available: </w:t>
      </w:r>
      <w:hyperlink r:id="rId29">
        <w:r>
          <w:rPr>
            <w:rStyle w:val="Hyperlink"/>
          </w:rPr>
          <w:t>https://arxiv.org/abs/2408.15058v1</w:t>
        </w:r>
      </w:hyperlink>
    </w:p>
    <w:p w14:paraId="3401B417" w14:textId="77777777" w:rsidR="00073879" w:rsidRDefault="00000000">
      <w:pPr>
        <w:pStyle w:val="Bibliography"/>
      </w:pPr>
      <w:bookmarkStart w:id="46" w:name="Xc7aebcb8d5a3e4f865cc2c1eda5bb6c4b617eca"/>
      <w:bookmarkEnd w:id="45"/>
      <w:r>
        <w:t xml:space="preserve">[27]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30">
        <w:r>
          <w:rPr>
            <w:rStyle w:val="Hyperlink"/>
          </w:rPr>
          <w:t>https://iris.who.int/handle/10665/44082</w:t>
        </w:r>
      </w:hyperlink>
    </w:p>
    <w:p w14:paraId="4066948C" w14:textId="77777777" w:rsidR="00073879" w:rsidRDefault="00000000">
      <w:pPr>
        <w:pStyle w:val="Bibliography"/>
      </w:pPr>
      <w:bookmarkStart w:id="47" w:name="ref-riutort-mayol_practical_2022"/>
      <w:bookmarkEnd w:id="46"/>
      <w:r>
        <w:t xml:space="preserve">[28] </w:t>
      </w:r>
      <w:r>
        <w:tab/>
        <w:t xml:space="preserve">G. Riutort-Mayol, P.-C. Bürkner, M. R. Andersen, A. Solin, and A. Vehtari, “Practical Hilbert space approximate Bayesian Gaussian processes for probabilistic programming.” arXiv, Mar. 2022. doi: </w:t>
      </w:r>
      <w:hyperlink r:id="rId31">
        <w:r>
          <w:rPr>
            <w:rStyle w:val="Hyperlink"/>
          </w:rPr>
          <w:t>10.48550/arXiv.2004.11408</w:t>
        </w:r>
      </w:hyperlink>
      <w:r>
        <w:t>.</w:t>
      </w:r>
    </w:p>
    <w:p w14:paraId="3A5D8F8F" w14:textId="1EE5D8B8" w:rsidR="00003807" w:rsidRDefault="00000000">
      <w:pPr>
        <w:pStyle w:val="Bibliography"/>
      </w:pPr>
      <w:bookmarkStart w:id="48" w:name="ref-carpenter_stan_2017"/>
      <w:bookmarkEnd w:id="47"/>
      <w:r>
        <w:t xml:space="preserve">[29]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32">
        <w:r>
          <w:rPr>
            <w:rStyle w:val="Hyperlink"/>
          </w:rPr>
          <w:t>10.18637/jss.v076.i01</w:t>
        </w:r>
      </w:hyperlink>
      <w:r>
        <w:t>.</w:t>
      </w:r>
      <w:bookmarkEnd w:id="18"/>
      <w:bookmarkEnd w:id="20"/>
      <w:bookmarkEnd w:id="48"/>
    </w:p>
    <w:p w14:paraId="72B7C4B0" w14:textId="77777777" w:rsidR="00003807" w:rsidRDefault="00003807">
      <w:r>
        <w:br w:type="page"/>
      </w:r>
    </w:p>
    <w:p w14:paraId="4788C2B2" w14:textId="12CFCAAA" w:rsidR="00003807" w:rsidRDefault="00003807" w:rsidP="00003807">
      <w:pPr>
        <w:pStyle w:val="Heading1"/>
      </w:pPr>
      <w:bookmarkStart w:id="49" w:name="figures"/>
      <w:r>
        <w:lastRenderedPageBreak/>
        <w:t>Figures</w:t>
      </w:r>
    </w:p>
    <w:p w14:paraId="64A20F43" w14:textId="77777777" w:rsidR="00003807" w:rsidRDefault="00003807" w:rsidP="00003807">
      <w:pPr>
        <w:pStyle w:val="BodyText"/>
      </w:pPr>
      <w:r>
        <w:rPr>
          <w:b/>
          <w:bCs/>
        </w:rPr>
        <w:t>Figure 1.</w:t>
      </w:r>
      <w:r>
        <w:t xml:space="preserve"> Cause-of-death data in 2020-21. A. Number of deaths by age groups in 2020-21. B. Distribution of the deaths </w:t>
      </w:r>
      <w:proofErr w:type="spellStart"/>
      <w:r>
        <w:t>occured</w:t>
      </w:r>
      <w:proofErr w:type="spellEnd"/>
      <w:r>
        <w:t xml:space="preserve"> in 2020-21 over the nine causes of deaths for each age group.</w:t>
      </w:r>
    </w:p>
    <w:p w14:paraId="38306D0F" w14:textId="77777777" w:rsidR="00003807" w:rsidRDefault="00003807" w:rsidP="00003807">
      <w:pPr>
        <w:pStyle w:val="BodyText"/>
      </w:pPr>
      <w:r>
        <w:rPr>
          <w:b/>
          <w:bCs/>
        </w:rPr>
        <w:t>Figure 2.</w:t>
      </w:r>
      <w:r>
        <w:t xml:space="preserve"> Model fit and </w:t>
      </w:r>
      <w:proofErr w:type="gramStart"/>
      <w:r>
        <w:t>cross-cause</w:t>
      </w:r>
      <w:proofErr w:type="gramEnd"/>
      <w:r>
        <w:t xml:space="preserve"> dependencies for the 80+ age group. A. Model fit. Number of weekly deaths observed in 2011-21 (red points) and model estimates (before 2020) and predictions (2020-21) (black line) with 95% credibility intervals (95% </w:t>
      </w:r>
      <w:proofErr w:type="spellStart"/>
      <w:r>
        <w:t>CrI</w:t>
      </w:r>
      <w:proofErr w:type="spellEnd"/>
      <w:r>
        <w:t xml:space="preserve">,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w:t>
      </w:r>
      <w:proofErr w:type="spellStart"/>
      <w:r>
        <w:t>occured</w:t>
      </w:r>
      <w:proofErr w:type="spellEnd"/>
      <w:r>
        <w:t xml:space="preserve"> during winter). The black points and lines represent the posterior estimate of the peak with 95% </w:t>
      </w:r>
      <w:proofErr w:type="spellStart"/>
      <w:r>
        <w:t>CrI</w:t>
      </w:r>
      <w:proofErr w:type="spellEnd"/>
      <w:r>
        <w:t>.</w:t>
      </w:r>
    </w:p>
    <w:p w14:paraId="34D4AB9F" w14:textId="77777777" w:rsidR="00003807" w:rsidRDefault="00003807" w:rsidP="00003807">
      <w:pPr>
        <w:pStyle w:val="BodyText"/>
      </w:pPr>
      <w:r>
        <w:rPr>
          <w:b/>
          <w:bCs/>
        </w:rPr>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w:t>
      </w:r>
      <w:proofErr w:type="spellStart"/>
      <w:r>
        <w:t>CrI</w:t>
      </w:r>
      <w:proofErr w:type="spellEnd"/>
      <w:r>
        <w:t>. B. Cumulative number of excess deaths with (in yellow) or without (in red) COVID-19 deaths, for each age group.</w:t>
      </w:r>
    </w:p>
    <w:p w14:paraId="5DC8BE10" w14:textId="77777777" w:rsidR="00003807" w:rsidRDefault="00003807" w:rsidP="00003807">
      <w:pPr>
        <w:pStyle w:val="BodyText"/>
      </w:pPr>
      <w:r>
        <w:rPr>
          <w:b/>
          <w:bCs/>
        </w:rPr>
        <w:t>Figure 4.</w:t>
      </w:r>
      <w:r>
        <w:t xml:space="preserve"> Cause-specific excess mortality by phase. Black lines and gray area correspond to posterior </w:t>
      </w:r>
      <w:proofErr w:type="gramStart"/>
      <w:r>
        <w:t>mean</w:t>
      </w:r>
      <w:proofErr w:type="gramEnd"/>
      <w:r>
        <w:t xml:space="preserve"> and 95% </w:t>
      </w:r>
      <w:proofErr w:type="spellStart"/>
      <w:r>
        <w:t>CrI</w:t>
      </w:r>
      <w:proofErr w:type="spellEnd"/>
      <w:r>
        <w:t xml:space="preserve"> of the cumulative (relative and absolute) excess mortality over 2020-21, respectively. The colored points and vertical lines correspond to posterior </w:t>
      </w:r>
      <w:proofErr w:type="gramStart"/>
      <w:r>
        <w:t>mean</w:t>
      </w:r>
      <w:proofErr w:type="gramEnd"/>
      <w:r>
        <w:t xml:space="preserve"> and 95% </w:t>
      </w:r>
      <w:proofErr w:type="spellStart"/>
      <w:r>
        <w:t>CrI</w:t>
      </w:r>
      <w:proofErr w:type="spellEnd"/>
      <w:r>
        <w:t xml:space="preserve"> of the relative excess mortality by phase, respectively. The phases are delimited by the dashed vertical lines. Panels A to D represent the different age groups. See Fig S5-S9 for the excess mortality by phase for each cause and each age group.</w:t>
      </w:r>
    </w:p>
    <w:p w14:paraId="79305AB4" w14:textId="77777777" w:rsidR="00003807" w:rsidRDefault="00003807" w:rsidP="00003807">
      <w:pPr>
        <w:pStyle w:val="BodyText"/>
      </w:pPr>
      <w:r>
        <w:rPr>
          <w:b/>
          <w:bCs/>
        </w:rPr>
        <w:t>Figure 5.</w:t>
      </w:r>
      <w:r>
        <w:t xml:space="preserve"> Partial correlation between excess mortality due to either COVID-19 (red) or to other respiratory diseases (blue, tagged as “</w:t>
      </w:r>
      <w:proofErr w:type="gramStart"/>
      <w:r>
        <w:t>Respiratory Diseases</w:t>
      </w:r>
      <w:proofErr w:type="gramEnd"/>
      <w:r>
        <w:t xml:space="preserve">”) and excess mortality due to cardiovascular diseases, cancers or mental/neurological diseases, for 65-79 and 80+ age groups, considering different lags (in weeks). Solid color lines correspond to the posterior mean and </w:t>
      </w:r>
      <w:proofErr w:type="gramStart"/>
      <w:r>
        <w:t>shaded</w:t>
      </w:r>
      <w:proofErr w:type="gramEnd"/>
      <w:r>
        <w:t xml:space="preserve"> colored area to the 95% </w:t>
      </w:r>
      <w:proofErr w:type="spellStart"/>
      <w:r>
        <w:t>CrI</w:t>
      </w:r>
      <w:proofErr w:type="spellEnd"/>
      <w:r>
        <w:t>.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p>
    <w:bookmarkEnd w:id="49"/>
    <w:p w14:paraId="4B5BE17A" w14:textId="77777777" w:rsidR="00073879" w:rsidRDefault="00073879">
      <w:pPr>
        <w:pStyle w:val="Bibliography"/>
      </w:pPr>
    </w:p>
    <w:sectPr w:rsidR="00073879" w:rsidSect="00251927">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689DD" w14:textId="77777777" w:rsidR="006D4CFA" w:rsidRDefault="006D4CFA">
      <w:pPr>
        <w:spacing w:after="0"/>
      </w:pPr>
      <w:r>
        <w:separator/>
      </w:r>
    </w:p>
  </w:endnote>
  <w:endnote w:type="continuationSeparator" w:id="0">
    <w:p w14:paraId="5EC04331" w14:textId="77777777" w:rsidR="006D4CFA" w:rsidRDefault="006D4C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D77AE" w14:textId="77777777" w:rsidR="006D4CFA" w:rsidRDefault="006D4CFA">
      <w:pPr>
        <w:spacing w:after="0"/>
      </w:pPr>
      <w:r>
        <w:separator/>
      </w:r>
    </w:p>
  </w:footnote>
  <w:footnote w:type="continuationSeparator" w:id="0">
    <w:p w14:paraId="60C7B941" w14:textId="77777777" w:rsidR="006D4CFA" w:rsidRDefault="006D4C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C2EEC7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273292236">
    <w:abstractNumId w:val="10"/>
  </w:num>
  <w:num w:numId="13" w16cid:durableId="7208314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1FA"/>
    <w:rsid w:val="00002E79"/>
    <w:rsid w:val="00003807"/>
    <w:rsid w:val="00073879"/>
    <w:rsid w:val="00075CD5"/>
    <w:rsid w:val="000C19C5"/>
    <w:rsid w:val="00172E59"/>
    <w:rsid w:val="001B6C30"/>
    <w:rsid w:val="001C436F"/>
    <w:rsid w:val="002276E6"/>
    <w:rsid w:val="00251927"/>
    <w:rsid w:val="002716DF"/>
    <w:rsid w:val="002D0C73"/>
    <w:rsid w:val="002E4C3F"/>
    <w:rsid w:val="003620C0"/>
    <w:rsid w:val="003F1726"/>
    <w:rsid w:val="00547615"/>
    <w:rsid w:val="005E69AF"/>
    <w:rsid w:val="006333B7"/>
    <w:rsid w:val="00645487"/>
    <w:rsid w:val="006D4CFA"/>
    <w:rsid w:val="007C2780"/>
    <w:rsid w:val="008435CE"/>
    <w:rsid w:val="009B35F5"/>
    <w:rsid w:val="00A6392B"/>
    <w:rsid w:val="00AB51FA"/>
    <w:rsid w:val="00C263CF"/>
    <w:rsid w:val="00DD595C"/>
    <w:rsid w:val="00D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D5E66"/>
  <w15:docId w15:val="{14FEDEB6-C751-4199-84F9-044F4CB2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UnresolvedMention">
    <w:name w:val="Unresolved Mention"/>
    <w:basedOn w:val="DefaultParagraphFont"/>
    <w:uiPriority w:val="99"/>
    <w:semiHidden/>
    <w:unhideWhenUsed/>
    <w:rsid w:val="00075CD5"/>
    <w:rPr>
      <w:color w:val="605E5C"/>
      <w:shd w:val="clear" w:color="auto" w:fill="E1DFDD"/>
    </w:rPr>
  </w:style>
  <w:style w:type="paragraph" w:styleId="ListParagraph">
    <w:name w:val="List Paragraph"/>
    <w:basedOn w:val="Normal"/>
    <w:rsid w:val="00003807"/>
    <w:pPr>
      <w:ind w:left="720"/>
      <w:contextualSpacing/>
    </w:pPr>
  </w:style>
  <w:style w:type="character" w:styleId="LineNumber">
    <w:name w:val="line number"/>
    <w:basedOn w:val="DefaultParagraphFont"/>
    <w:semiHidden/>
    <w:unhideWhenUsed/>
    <w:rsid w:val="00251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141076820956802" TargetMode="External"/><Relationship Id="rId18" Type="http://schemas.openxmlformats.org/officeDocument/2006/relationships/hyperlink" Target="https://doi.org/10.1371/journal.pone.0281683" TargetMode="External"/><Relationship Id="rId26" Type="http://schemas.openxmlformats.org/officeDocument/2006/relationships/hyperlink" Target="https://doi.org/10.1186/1471-2334-11-350" TargetMode="External"/><Relationship Id="rId3" Type="http://schemas.openxmlformats.org/officeDocument/2006/relationships/settings" Target="settings.xml"/><Relationship Id="rId21" Type="http://schemas.openxmlformats.org/officeDocument/2006/relationships/hyperlink" Target="https://doi.org/10.1038/s41591-022-01689-3" TargetMode="External"/><Relationship Id="rId34" Type="http://schemas.openxmlformats.org/officeDocument/2006/relationships/theme" Target="theme/theme1.xml"/><Relationship Id="rId7" Type="http://schemas.openxmlformats.org/officeDocument/2006/relationships/hyperlink" Target="https://doi.org/10.1111/ajt.16381" TargetMode="External"/><Relationship Id="rId12" Type="http://schemas.openxmlformats.org/officeDocument/2006/relationships/hyperlink" Target="https://doi.org/10.1038/s41467-022-35770-9" TargetMode="External"/><Relationship Id="rId17" Type="http://schemas.openxmlformats.org/officeDocument/2006/relationships/hyperlink" Target="https://doi.org/10.1007/s10654-024-01154-0" TargetMode="External"/><Relationship Id="rId25" Type="http://schemas.openxmlformats.org/officeDocument/2006/relationships/hyperlink" Target="https://doi.org/10.1016/S1473-3099(09)70233-6"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44197-024-00242-4" TargetMode="External"/><Relationship Id="rId20" Type="http://schemas.openxmlformats.org/officeDocument/2006/relationships/hyperlink" Target="https://doi.org/10.1038/s41591-024-02987-8" TargetMode="External"/><Relationship Id="rId29" Type="http://schemas.openxmlformats.org/officeDocument/2006/relationships/hyperlink" Target="https://arxiv.org/abs/2408.15058v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12874-023-01984-8" TargetMode="External"/><Relationship Id="rId24" Type="http://schemas.openxmlformats.org/officeDocument/2006/relationships/hyperlink" Target="https://doi.org/10.4103/1947-2714.110430" TargetMode="External"/><Relationship Id="rId32" Type="http://schemas.openxmlformats.org/officeDocument/2006/relationships/hyperlink" Target="https://doi.org/10.18637/jss.v076.i01" TargetMode="External"/><Relationship Id="rId5" Type="http://schemas.openxmlformats.org/officeDocument/2006/relationships/footnotes" Target="footnotes.xml"/><Relationship Id="rId15" Type="http://schemas.openxmlformats.org/officeDocument/2006/relationships/hyperlink" Target="https://doi.org/10.1093/ije/dyaf006" TargetMode="External"/><Relationship Id="rId23" Type="http://schemas.openxmlformats.org/officeDocument/2006/relationships/hyperlink" Target="https://doi.org/10.1186/s12885-025-13818-5" TargetMode="External"/><Relationship Id="rId28" Type="http://schemas.openxmlformats.org/officeDocument/2006/relationships/hyperlink" Target="https://doi.org/10.3389/fmed.2021.757459" TargetMode="External"/><Relationship Id="rId10" Type="http://schemas.openxmlformats.org/officeDocument/2006/relationships/hyperlink" Target="https://doi.org/10.1038/s44161-023-00220-2" TargetMode="External"/><Relationship Id="rId19" Type="http://schemas.openxmlformats.org/officeDocument/2006/relationships/hyperlink" Target="https://doi.org/10.4414/SMW.2021.w30030" TargetMode="External"/><Relationship Id="rId31" Type="http://schemas.openxmlformats.org/officeDocument/2006/relationships/hyperlink" Target="https://doi.org/10.48550/arXiv.2004.11408" TargetMode="External"/><Relationship Id="rId4" Type="http://schemas.openxmlformats.org/officeDocument/2006/relationships/webSettings" Target="webSettings.xml"/><Relationship Id="rId9" Type="http://schemas.openxmlformats.org/officeDocument/2006/relationships/hyperlink" Target="https://doi.org/10.1016/S1470-2045(20)30388-0" TargetMode="External"/><Relationship Id="rId14" Type="http://schemas.openxmlformats.org/officeDocument/2006/relationships/hyperlink" Target="https://doi.org/10.1017/S1748499523000118" TargetMode="External"/><Relationship Id="rId22" Type="http://schemas.openxmlformats.org/officeDocument/2006/relationships/hyperlink" Target="https://doi.org/10.7554/eLife.93758.2" TargetMode="External"/><Relationship Id="rId27" Type="http://schemas.openxmlformats.org/officeDocument/2006/relationships/hyperlink" Target="https://doi.org/10.1093/ije/dyab123" TargetMode="External"/><Relationship Id="rId30" Type="http://schemas.openxmlformats.org/officeDocument/2006/relationships/hyperlink" Target="https://iris.who.int/handle/10665/44082" TargetMode="External"/><Relationship Id="rId8" Type="http://schemas.openxmlformats.org/officeDocument/2006/relationships/hyperlink" Target="https://doi.org/10.1038/s41598-024-686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13</Pages>
  <Words>5989</Words>
  <Characters>32943</Characters>
  <Application>Microsoft Office Word</Application>
  <DocSecurity>0</DocSecurity>
  <Lines>274</Lines>
  <Paragraphs>77</Paragraphs>
  <ScaleCrop>false</ScaleCrop>
  <Company/>
  <LinksUpToDate>false</LinksUpToDate>
  <CharactersWithSpaces>38855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Moritz Wagner (2), Anna Fesser† (2), Karim Abawi (3), Anne Laube (2), Garyfallos Konstantinoudis (4), Julien Riou (1)</dc:creator>
  <cp:keywords/>
  <cp:lastModifiedBy>Hauser Anthony</cp:lastModifiedBy>
  <cp:revision>5</cp:revision>
  <dcterms:created xsi:type="dcterms:W3CDTF">2026-04-09T07:40:00Z</dcterms:created>
  <dcterms:modified xsi:type="dcterms:W3CDTF">2026-04-09T08:28:00Z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