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COVID-19</w:t>
      </w:r>
      <w:r>
        <w:t xml:space="preserve"> </w:t>
      </w:r>
      <w:r>
        <w:t xml:space="preserve">disrupted</w:t>
      </w:r>
      <w:r>
        <w:t xml:space="preserve"> </w:t>
      </w:r>
      <w:r>
        <w:t xml:space="preserve">patterns</w:t>
      </w:r>
      <w:r>
        <w:t xml:space="preserve"> </w:t>
      </w:r>
      <w:r>
        <w:t xml:space="preserve">of</w:t>
      </w:r>
      <w:r>
        <w:t xml:space="preserve"> </w:t>
      </w:r>
      <w:r>
        <w:t xml:space="preserve">cause-specific</w:t>
      </w:r>
      <w:r>
        <w:t xml:space="preserve"> </w:t>
      </w:r>
      <w:r>
        <w:t xml:space="preserve">mortality</w:t>
      </w:r>
      <w:r>
        <w:t xml:space="preserve"> </w:t>
      </w:r>
      <w:r>
        <w:t xml:space="preserve">in</w:t>
      </w:r>
      <w:r>
        <w:t xml:space="preserve"> </w:t>
      </w:r>
      <w:r>
        <w:t xml:space="preserve">Switzerland</w:t>
      </w:r>
    </w:p>
    <w:p>
      <w:pPr>
        <w:pStyle w:val="Author"/>
      </w:pPr>
      <w:r>
        <w:t xml:space="preserve">Anthony</w:t>
      </w:r>
      <w:r>
        <w:t xml:space="preserve"> </w:t>
      </w:r>
      <w:r>
        <w:t xml:space="preserve">Hauser*</w:t>
      </w:r>
      <w:r>
        <w:t xml:space="preserve"> </w:t>
      </w:r>
      <w:r>
        <w:t xml:space="preserve">(1),</w:t>
      </w:r>
      <w:r>
        <w:t xml:space="preserve"> </w:t>
      </w:r>
      <w:r>
        <w:t xml:space="preserve">Moritz</w:t>
      </w:r>
      <w:r>
        <w:t xml:space="preserve"> </w:t>
      </w:r>
      <w:r>
        <w:t xml:space="preserve">Wagner</w:t>
      </w:r>
      <w:r>
        <w:t xml:space="preserve"> </w:t>
      </w:r>
      <w:r>
        <w:t xml:space="preserve">(2),</w:t>
      </w:r>
      <w:r>
        <w:t xml:space="preserve"> </w:t>
      </w:r>
      <w:r>
        <w:t xml:space="preserve">Anne</w:t>
      </w:r>
      <w:r>
        <w:t xml:space="preserve"> </w:t>
      </w:r>
      <w:r>
        <w:t xml:space="preserve">Laube</w:t>
      </w:r>
      <w:r>
        <w:t xml:space="preserve"> </w:t>
      </w:r>
      <w:r>
        <w:t xml:space="preserve">(2),</w:t>
      </w:r>
      <w:r>
        <w:t xml:space="preserve"> </w:t>
      </w:r>
      <w:r>
        <w:t xml:space="preserve">Julien</w:t>
      </w:r>
      <w:r>
        <w:t xml:space="preserve"> </w:t>
      </w:r>
      <w:r>
        <w:t xml:space="preserve">Riou</w:t>
      </w:r>
      <w:r>
        <w:t xml:space="preserve"> </w:t>
      </w:r>
      <w:r>
        <w:t xml:space="preserve">(1)</w:t>
      </w:r>
    </w:p>
    <w:p>
      <w:pPr>
        <w:pStyle w:val="Date"/>
      </w:pPr>
      <w:r>
        <w:t xml:space="preserve">Report</w:t>
      </w:r>
      <w:r>
        <w:t xml:space="preserve"> </w:t>
      </w:r>
      <w:r>
        <w:t xml:space="preserve">generated</w:t>
      </w:r>
      <w:r>
        <w:t xml:space="preserve"> </w:t>
      </w:r>
      <w:r>
        <w:t xml:space="preserve">on</w:t>
      </w:r>
      <w:r>
        <w:t xml:space="preserve"> </w:t>
      </w:r>
      <w:r>
        <w:t xml:space="preserve">Date:</w:t>
      </w:r>
      <w:r>
        <w:t xml:space="preserve"> </w:t>
      </w:r>
      <w:r>
        <w:t xml:space="preserve">2025-04-23</w:t>
      </w:r>
      <w:r>
        <w:t xml:space="preserve"> </w:t>
      </w:r>
      <w:r>
        <w:t xml:space="preserve">Time:</w:t>
      </w:r>
      <w:r>
        <w:t xml:space="preserve"> </w:t>
      </w:r>
      <w:r>
        <w:t xml:space="preserve">15:02</w:t>
      </w:r>
    </w:p>
    <w:p>
      <w:pPr>
        <w:numPr>
          <w:ilvl w:val="0"/>
          <w:numId w:val="1001"/>
        </w:numPr>
        <w:pStyle w:val="Compact"/>
      </w:pPr>
      <w:r>
        <w:t xml:space="preserve">Department of Epidemiology and Health Systems, Unisanté, Center for Primary Care and Public Health and University of Lausanne, Lausanne, Switzerland;</w:t>
      </w:r>
    </w:p>
    <w:p>
      <w:pPr>
        <w:numPr>
          <w:ilvl w:val="0"/>
          <w:numId w:val="1001"/>
        </w:numPr>
        <w:pStyle w:val="Compact"/>
      </w:pPr>
      <w:r>
        <w:t xml:space="preserve">Federal Office of Public Health, Bern, Switzerland;</w:t>
      </w:r>
      <w:r>
        <w:t xml:space="preserve"> </w:t>
      </w:r>
      <w:r>
        <w:t xml:space="preserve">(*) Corresponding author:</w:t>
      </w:r>
      <w:r>
        <w:t xml:space="preserve"> </w:t>
      </w:r>
      <w:hyperlink r:id="rId20">
        <w:r>
          <w:rPr>
            <w:rStyle w:val="Lienhypertexte"/>
          </w:rPr>
          <w:t xml:space="preserve">anthony.hauser@unisante.ch</w:t>
        </w:r>
      </w:hyperlink>
    </w:p>
    <w:p>
      <w:pPr>
        <w:pStyle w:val="SourceCode"/>
      </w:pPr>
      <w:r>
        <w:rPr>
          <w:rStyle w:val="CommentTok"/>
        </w:rPr>
        <w:t xml:space="preserve">#Setup</w:t>
      </w:r>
      <w:r>
        <w:br/>
      </w:r>
      <w:r>
        <w:rPr>
          <w:rStyle w:val="NormalTok"/>
        </w:rPr>
        <w:t xml:space="preserve">wd </w:t>
      </w:r>
      <w:r>
        <w:rPr>
          <w:rStyle w:val="OtherTok"/>
        </w:rPr>
        <w:t xml:space="preserve">=</w:t>
      </w:r>
      <w:r>
        <w:rPr>
          <w:rStyle w:val="NormalTok"/>
        </w:rPr>
        <w:t xml:space="preserve"> </w:t>
      </w:r>
      <w:r>
        <w:rPr>
          <w:rStyle w:val="FunctionTok"/>
        </w:rPr>
        <w:t xml:space="preserve">getwd</w:t>
      </w:r>
      <w:r>
        <w:rPr>
          <w:rStyle w:val="NormalTok"/>
        </w:rPr>
        <w:t xml:space="preserve">()</w:t>
      </w:r>
      <w:r>
        <w:br/>
      </w:r>
      <w:r>
        <w:rPr>
          <w:rStyle w:val="NormalTok"/>
        </w:rPr>
        <w:t xml:space="preserve">code_root_path </w:t>
      </w:r>
      <w:r>
        <w:rPr>
          <w:rStyle w:val="OtherTok"/>
        </w:rPr>
        <w:t xml:space="preserve">=</w:t>
      </w:r>
      <w:r>
        <w:rPr>
          <w:rStyle w:val="NormalTok"/>
        </w:rPr>
        <w:t xml:space="preserve"> </w:t>
      </w:r>
      <w:r>
        <w:rPr>
          <w:rStyle w:val="FunctionTok"/>
        </w:rPr>
        <w:t xml:space="preserve">paste0</w:t>
      </w:r>
      <w:r>
        <w:rPr>
          <w:rStyle w:val="NormalTok"/>
        </w:rPr>
        <w:t xml:space="preserve">(</w:t>
      </w:r>
      <w:r>
        <w:rPr>
          <w:rStyle w:val="FunctionTok"/>
        </w:rPr>
        <w:t xml:space="preserve">strsplit</w:t>
      </w:r>
      <w:r>
        <w:rPr>
          <w:rStyle w:val="NormalTok"/>
        </w:rPr>
        <w:t xml:space="preserve">(wd, </w:t>
      </w:r>
      <w:r>
        <w:rPr>
          <w:rStyle w:val="AttributeTok"/>
        </w:rPr>
        <w:t xml:space="preserve">split=</w:t>
      </w:r>
      <w:r>
        <w:rPr>
          <w:rStyle w:val="StringTok"/>
        </w:rPr>
        <w:t xml:space="preserve">"/manuscript"</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StringTok"/>
        </w:rPr>
        <w:t xml:space="preserve">"/"</w:t>
      </w:r>
      <w:r>
        <w:rPr>
          <w:rStyle w:val="NormalTok"/>
        </w:rPr>
        <w:t xml:space="preserve">)</w:t>
      </w:r>
      <w:r>
        <w:br/>
      </w:r>
      <w:r>
        <w:rPr>
          <w:rStyle w:val="FunctionTok"/>
        </w:rPr>
        <w:t xml:space="preserve">print</w:t>
      </w:r>
      <w:r>
        <w:rPr>
          <w:rStyle w:val="NormalTok"/>
        </w:rPr>
        <w:t xml:space="preserve">(code_root_path)</w:t>
      </w:r>
    </w:p>
    <w:p>
      <w:pPr>
        <w:pStyle w:val="SourceCode"/>
      </w:pPr>
      <w:r>
        <w:rPr>
          <w:rStyle w:val="VerbatimChar"/>
        </w:rPr>
        <w:t xml:space="preserve">## [1] "C:/TEMP/projects/causes-of-deaths/"</w:t>
      </w:r>
    </w:p>
    <w:p>
      <w:pPr>
        <w:pStyle w:val="SourceCode"/>
      </w:pPr>
      <w:r>
        <w:rPr>
          <w:rStyle w:val="FunctionTok"/>
        </w:rPr>
        <w:t xml:space="preserve">source</w:t>
      </w:r>
      <w:r>
        <w:rPr>
          <w:rStyle w:val="NormalTok"/>
        </w:rPr>
        <w:t xml:space="preserve">(</w:t>
      </w:r>
      <w:r>
        <w:rPr>
          <w:rStyle w:val="FunctionTok"/>
        </w:rPr>
        <w:t xml:space="preserve">paste0</w:t>
      </w:r>
      <w:r>
        <w:rPr>
          <w:rStyle w:val="NormalTok"/>
        </w:rPr>
        <w:t xml:space="preserve">(code_root_path,</w:t>
      </w:r>
      <w:r>
        <w:rPr>
          <w:rStyle w:val="StringTok"/>
        </w:rPr>
        <w:t xml:space="preserve">"R/000_setup.R"</w:t>
      </w:r>
      <w:r>
        <w:rPr>
          <w:rStyle w:val="NormalTok"/>
        </w:rPr>
        <w:t xml:space="preserve">))</w:t>
      </w:r>
    </w:p>
    <w:p>
      <w:pPr>
        <w:pStyle w:val="SourceCode"/>
      </w:pPr>
      <w:r>
        <w:rPr>
          <w:rStyle w:val="VerbatimChar"/>
        </w:rPr>
        <w:t xml:space="preserve">## Warning: le package 'pacman' a été compilé avec la version R 4.4.2</w:t>
      </w:r>
    </w:p>
    <w:p>
      <w:pPr>
        <w:pStyle w:val="SourceCode"/>
      </w:pPr>
      <w:r>
        <w:rPr>
          <w:rStyle w:val="VerbatimChar"/>
        </w:rPr>
        <w:t xml:space="preserve">## Warning: le package 'cmdstanr' a été compilé avec la version R 4.4.2</w:t>
      </w:r>
    </w:p>
    <w:p>
      <w:pPr>
        <w:pStyle w:val="SourceCode"/>
      </w:pPr>
      <w:r>
        <w:rPr>
          <w:rStyle w:val="VerbatimChar"/>
        </w:rPr>
        <w:t xml:space="preserve">## This is cmdstanr version 0.8.1</w:t>
      </w:r>
    </w:p>
    <w:p>
      <w:pPr>
        <w:pStyle w:val="SourceCode"/>
      </w:pPr>
      <w:r>
        <w:rPr>
          <w:rStyle w:val="VerbatimChar"/>
        </w:rPr>
        <w:t xml:space="preserve">## - CmdStanR documentation and vignettes: mc-stan.org/cmdstanr</w:t>
      </w:r>
    </w:p>
    <w:p>
      <w:pPr>
        <w:pStyle w:val="SourceCode"/>
      </w:pPr>
      <w:r>
        <w:rPr>
          <w:rStyle w:val="VerbatimChar"/>
        </w:rPr>
        <w:t xml:space="preserve">## - CmdStan path: C:/Users/an4818/.cmdstan/cmdstan-2.35.0</w:t>
      </w:r>
    </w:p>
    <w:p>
      <w:pPr>
        <w:pStyle w:val="SourceCode"/>
      </w:pPr>
      <w:r>
        <w:rPr>
          <w:rStyle w:val="VerbatimChar"/>
        </w:rPr>
        <w:t xml:space="preserve">## - CmdStan version: 2.35.0</w:t>
      </w:r>
    </w:p>
    <w:p>
      <w:pPr>
        <w:pStyle w:val="SourceCode"/>
      </w:pPr>
      <w:r>
        <w:rPr>
          <w:rStyle w:val="VerbatimChar"/>
        </w:rPr>
        <w:t xml:space="preserve">## </w:t>
      </w:r>
      <w:r>
        <w:br/>
      </w:r>
      <w:r>
        <w:rPr>
          <w:rStyle w:val="VerbatimChar"/>
        </w:rPr>
        <w:t xml:space="preserve">## A newer version of CmdStan is available. See ?install_cmdstan() to install it.</w:t>
      </w:r>
      <w:r>
        <w:br/>
      </w:r>
      <w:r>
        <w:rPr>
          <w:rStyle w:val="VerbatimChar"/>
        </w:rPr>
        <w:t xml:space="preserve">## To disable this check set option or environment variable cmdstanr_no_ver_check=TRUE.</w:t>
      </w:r>
    </w:p>
    <w:p>
      <w:pPr>
        <w:pStyle w:val="SourceCode"/>
      </w:pPr>
      <w:r>
        <w:rPr>
          <w:rStyle w:val="VerbatimChar"/>
        </w:rPr>
        <w:t xml:space="preserve">## CmdStan path set to: C:/TEMP/.cmdstan/cmdstan-2.35.0</w:t>
      </w:r>
    </w:p>
    <w:p>
      <w:pPr>
        <w:pStyle w:val="SourceCode"/>
      </w:pPr>
      <w:r>
        <w:rPr>
          <w:rStyle w:val="VerbatimChar"/>
        </w:rPr>
        <w:t xml:space="preserve">## ── Attaching core tidyverse packages ──────────────────────── tidyverse 2.0.0 ──</w:t>
      </w:r>
      <w:r>
        <w:br/>
      </w:r>
      <w:r>
        <w:rPr>
          <w:rStyle w:val="VerbatimChar"/>
        </w:rPr>
        <w:t xml:space="preserve">## ✔ forcats 1.0.0     ✔ tibble  3.2.1</w:t>
      </w:r>
      <w:r>
        <w:br/>
      </w:r>
      <w:r>
        <w:rPr>
          <w:rStyle w:val="VerbatimChar"/>
        </w:rPr>
        <w:t xml:space="preserve">## ✔ readr   2.1.5     </w:t>
      </w:r>
      <w:r>
        <w:br/>
      </w:r>
      <w:r>
        <w:rPr>
          <w:rStyle w:val="VerbatimChar"/>
        </w:rPr>
        <w:t xml:space="preserve">## ── Conflicts ────────────────────────────────────────── tidyverse_conflicts() ──</w:t>
      </w:r>
      <w:r>
        <w:br/>
      </w:r>
      <w:r>
        <w:rPr>
          <w:rStyle w:val="VerbatimChar"/>
        </w:rPr>
        <w:t xml:space="preserve">## ✖ dplyr::between()      masks data.table::between()</w:t>
      </w:r>
      <w:r>
        <w:br/>
      </w:r>
      <w:r>
        <w:rPr>
          <w:rStyle w:val="VerbatimChar"/>
        </w:rPr>
        <w:t xml:space="preserve">## ✖ dplyr::filter()       masks stats::filter()</w:t>
      </w:r>
      <w:r>
        <w:br/>
      </w:r>
      <w:r>
        <w:rPr>
          <w:rStyle w:val="VerbatimChar"/>
        </w:rPr>
        <w:t xml:space="preserve">## ✖ dplyr::first()        masks data.table::first()</w:t>
      </w:r>
      <w:r>
        <w:br/>
      </w:r>
      <w:r>
        <w:rPr>
          <w:rStyle w:val="VerbatimChar"/>
        </w:rPr>
        <w:t xml:space="preserve">## ✖ data.table::hour()    masks lubridate::hour()</w:t>
      </w:r>
      <w:r>
        <w:br/>
      </w:r>
      <w:r>
        <w:rPr>
          <w:rStyle w:val="VerbatimChar"/>
        </w:rPr>
        <w:t xml:space="preserve">## ✖ data.table::isoweek() masks lubridate::isoweek()</w:t>
      </w:r>
      <w:r>
        <w:br/>
      </w:r>
      <w:r>
        <w:rPr>
          <w:rStyle w:val="VerbatimChar"/>
        </w:rPr>
        <w:t xml:space="preserve">## ✖ dplyr::lag()          masks stats::lag()</w:t>
      </w:r>
      <w:r>
        <w:br/>
      </w:r>
      <w:r>
        <w:rPr>
          <w:rStyle w:val="VerbatimChar"/>
        </w:rPr>
        <w:t xml:space="preserve">## ✖ dplyr::last()         masks data.table::last()</w:t>
      </w:r>
      <w:r>
        <w:br/>
      </w:r>
      <w:r>
        <w:rPr>
          <w:rStyle w:val="VerbatimChar"/>
        </w:rPr>
        <w:t xml:space="preserve">## ✖ data.table::mday()    masks lubridate::mday()</w:t>
      </w:r>
      <w:r>
        <w:br/>
      </w:r>
      <w:r>
        <w:rPr>
          <w:rStyle w:val="VerbatimChar"/>
        </w:rPr>
        <w:t xml:space="preserve">## ✖ data.table::minute()  masks lubridate::minute()</w:t>
      </w:r>
      <w:r>
        <w:br/>
      </w:r>
      <w:r>
        <w:rPr>
          <w:rStyle w:val="VerbatimChar"/>
        </w:rPr>
        <w:t xml:space="preserve">## ✖ data.table::month()   masks lubridate::month()</w:t>
      </w:r>
      <w:r>
        <w:br/>
      </w:r>
      <w:r>
        <w:rPr>
          <w:rStyle w:val="VerbatimChar"/>
        </w:rPr>
        <w:t xml:space="preserve">## ✖ data.table::quarter() masks lubridate::quarter()</w:t>
      </w:r>
      <w:r>
        <w:br/>
      </w:r>
      <w:r>
        <w:rPr>
          <w:rStyle w:val="VerbatimChar"/>
        </w:rPr>
        <w:t xml:space="preserve">## ✖ data.table::second()  masks lubridate::second()</w:t>
      </w:r>
      <w:r>
        <w:br/>
      </w:r>
      <w:r>
        <w:rPr>
          <w:rStyle w:val="VerbatimChar"/>
        </w:rPr>
        <w:t xml:space="preserve">## ✖ purrr::transpose()    masks data.table::transpose()</w:t>
      </w:r>
      <w:r>
        <w:br/>
      </w:r>
      <w:r>
        <w:rPr>
          <w:rStyle w:val="VerbatimChar"/>
        </w:rPr>
        <w:t xml:space="preserve">## ✖ data.table::wday()    masks lubridate::wday()</w:t>
      </w:r>
      <w:r>
        <w:br/>
      </w:r>
      <w:r>
        <w:rPr>
          <w:rStyle w:val="VerbatimChar"/>
        </w:rPr>
        <w:t xml:space="preserve">## ✖ data.table::week()    masks lubridate::week()</w:t>
      </w:r>
      <w:r>
        <w:br/>
      </w:r>
      <w:r>
        <w:rPr>
          <w:rStyle w:val="VerbatimChar"/>
        </w:rPr>
        <w:t xml:space="preserve">## ✖ data.table::yday()    masks lubridate::yday()</w:t>
      </w:r>
      <w:r>
        <w:br/>
      </w:r>
      <w:r>
        <w:rPr>
          <w:rStyle w:val="VerbatimChar"/>
        </w:rPr>
        <w:t xml:space="preserve">## ✖ data.table::year()    masks lubridate::year()</w:t>
      </w:r>
      <w:r>
        <w:br/>
      </w:r>
      <w:r>
        <w:rPr>
          <w:rStyle w:val="VerbatimChar"/>
        </w:rPr>
        <w:t xml:space="preserve">## ℹ Use the conflicted package (&lt;http://conflicted.r-lib.org/&gt;) to force all conflicts to become errors</w:t>
      </w:r>
      <w:r>
        <w:br/>
      </w:r>
      <w:r>
        <w:rPr>
          <w:rStyle w:val="VerbatimChar"/>
        </w:rPr>
        <w:t xml:space="preserve">## </w:t>
      </w:r>
      <w:r>
        <w:br/>
      </w:r>
      <w:r>
        <w:rPr>
          <w:rStyle w:val="VerbatimChar"/>
        </w:rPr>
        <w:t xml:space="preserve">## Attachement du package : 'flextable'</w:t>
      </w:r>
      <w:r>
        <w:br/>
      </w:r>
      <w:r>
        <w:rPr>
          <w:rStyle w:val="VerbatimChar"/>
        </w:rPr>
        <w:t xml:space="preserve">## </w:t>
      </w:r>
      <w:r>
        <w:br/>
      </w:r>
      <w:r>
        <w:rPr>
          <w:rStyle w:val="VerbatimChar"/>
        </w:rPr>
        <w:t xml:space="preserve">## </w:t>
      </w:r>
      <w:r>
        <w:br/>
      </w:r>
      <w:r>
        <w:rPr>
          <w:rStyle w:val="VerbatimChar"/>
        </w:rPr>
        <w:t xml:space="preserve">## L'objet suivant est masqué depuis 'package:purrr':</w:t>
      </w:r>
      <w:r>
        <w:br/>
      </w:r>
      <w:r>
        <w:rPr>
          <w:rStyle w:val="VerbatimChar"/>
        </w:rPr>
        <w:t xml:space="preserve">## </w:t>
      </w:r>
      <w:r>
        <w:br/>
      </w:r>
      <w:r>
        <w:rPr>
          <w:rStyle w:val="VerbatimChar"/>
        </w:rPr>
        <w:t xml:space="preserve">##     compose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Attachement du package : 'readxl'</w:t>
      </w:r>
      <w:r>
        <w:br/>
      </w:r>
      <w:r>
        <w:rPr>
          <w:rStyle w:val="VerbatimChar"/>
        </w:rPr>
        <w:t xml:space="preserve">## </w:t>
      </w:r>
      <w:r>
        <w:br/>
      </w:r>
      <w:r>
        <w:rPr>
          <w:rStyle w:val="VerbatimChar"/>
        </w:rPr>
        <w:t xml:space="preserve">## </w:t>
      </w:r>
      <w:r>
        <w:br/>
      </w:r>
      <w:r>
        <w:rPr>
          <w:rStyle w:val="VerbatimChar"/>
        </w:rPr>
        <w:t xml:space="preserve">## L'objet suivant est masqué depuis 'package:officer':</w:t>
      </w:r>
      <w:r>
        <w:br/>
      </w:r>
      <w:r>
        <w:rPr>
          <w:rStyle w:val="VerbatimChar"/>
        </w:rPr>
        <w:t xml:space="preserve">## </w:t>
      </w:r>
      <w:r>
        <w:br/>
      </w:r>
      <w:r>
        <w:rPr>
          <w:rStyle w:val="VerbatimChar"/>
        </w:rPr>
        <w:t xml:space="preserve">##     read_xlsx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Attachement du package : 'scales'</w:t>
      </w:r>
      <w:r>
        <w:br/>
      </w:r>
      <w:r>
        <w:rPr>
          <w:rStyle w:val="VerbatimChar"/>
        </w:rPr>
        <w:t xml:space="preserve">## </w:t>
      </w:r>
      <w:r>
        <w:br/>
      </w:r>
      <w:r>
        <w:rPr>
          <w:rStyle w:val="VerbatimChar"/>
        </w:rPr>
        <w:t xml:space="preserve">## </w:t>
      </w:r>
      <w:r>
        <w:br/>
      </w:r>
      <w:r>
        <w:rPr>
          <w:rStyle w:val="VerbatimChar"/>
        </w:rPr>
        <w:t xml:space="preserve">## L'objet suivant est masqué depuis 'package:readr':</w:t>
      </w:r>
      <w:r>
        <w:br/>
      </w:r>
      <w:r>
        <w:rPr>
          <w:rStyle w:val="VerbatimChar"/>
        </w:rPr>
        <w:t xml:space="preserve">## </w:t>
      </w:r>
      <w:r>
        <w:br/>
      </w:r>
      <w:r>
        <w:rPr>
          <w:rStyle w:val="VerbatimChar"/>
        </w:rPr>
        <w:t xml:space="preserve">##     col_factor</w:t>
      </w:r>
      <w:r>
        <w:br/>
      </w:r>
      <w:r>
        <w:rPr>
          <w:rStyle w:val="VerbatimChar"/>
        </w:rPr>
        <w:t xml:space="preserve">## </w:t>
      </w:r>
      <w:r>
        <w:br/>
      </w:r>
      <w:r>
        <w:rPr>
          <w:rStyle w:val="VerbatimChar"/>
        </w:rPr>
        <w:t xml:space="preserve">## </w:t>
      </w:r>
      <w:r>
        <w:br/>
      </w:r>
      <w:r>
        <w:rPr>
          <w:rStyle w:val="VerbatimChar"/>
        </w:rPr>
        <w:t xml:space="preserve">## L'objet suivant est masqué depuis 'package:purrr':</w:t>
      </w:r>
      <w:r>
        <w:br/>
      </w:r>
      <w:r>
        <w:rPr>
          <w:rStyle w:val="VerbatimChar"/>
        </w:rPr>
        <w:t xml:space="preserve">## </w:t>
      </w:r>
      <w:r>
        <w:br/>
      </w:r>
      <w:r>
        <w:rPr>
          <w:rStyle w:val="VerbatimChar"/>
        </w:rPr>
        <w:t xml:space="preserve">##     discard</w:t>
      </w:r>
      <w:r>
        <w:br/>
      </w:r>
      <w:r>
        <w:rPr>
          <w:rStyle w:val="VerbatimChar"/>
        </w:rPr>
        <w:t xml:space="preserve">## </w:t>
      </w:r>
      <w:r>
        <w:br/>
      </w:r>
      <w:r>
        <w:rPr>
          <w:rStyle w:val="VerbatimChar"/>
        </w:rPr>
        <w:t xml:space="preserve">## </w:t>
      </w:r>
      <w:r>
        <w:br/>
      </w:r>
      <w:r>
        <w:rPr>
          <w:rStyle w:val="VerbatimChar"/>
        </w:rPr>
        <w:t xml:space="preserve">## Joining with `by = join_by(ctn)`</w:t>
      </w:r>
    </w:p>
    <w:p>
      <w:pPr>
        <w:pStyle w:val="SourceCode"/>
      </w:pPr>
      <w:r>
        <w:rPr>
          <w:rStyle w:val="VerbatimChar"/>
        </w:rPr>
        <w:t xml:space="preserve">##  [1] "C:/TEMP/projects/causes-of-deaths//R/001_data_cleaning.R"                 </w:t>
      </w:r>
      <w:r>
        <w:br/>
      </w:r>
      <w:r>
        <w:rPr>
          <w:rStyle w:val="VerbatimChar"/>
        </w:rPr>
        <w:t xml:space="preserve">##  [2] "C:/TEMP/projects/causes-of-deaths//R/002_load_pop.R"                      </w:t>
      </w:r>
      <w:r>
        <w:br/>
      </w:r>
      <w:r>
        <w:rPr>
          <w:rStyle w:val="VerbatimChar"/>
        </w:rPr>
        <w:t xml:space="preserve">##  [3] "C:/TEMP/projects/causes-of-deaths//R/003_get_pop_by_age_sex_year_ctn.R"   </w:t>
      </w:r>
      <w:r>
        <w:br/>
      </w:r>
      <w:r>
        <w:rPr>
          <w:rStyle w:val="VerbatimChar"/>
        </w:rPr>
        <w:t xml:space="preserve">##  [4] "C:/TEMP/projects/causes-of-deaths//R/010_tuning_parameter_cond_EQ.R"      </w:t>
      </w:r>
      <w:r>
        <w:br/>
      </w:r>
      <w:r>
        <w:rPr>
          <w:rStyle w:val="VerbatimChar"/>
        </w:rPr>
        <w:t xml:space="preserve">##  [5] "C:/TEMP/projects/causes-of-deaths//R/011_tuning_parameter_cond_periodic.R"</w:t>
      </w:r>
      <w:r>
        <w:br/>
      </w:r>
      <w:r>
        <w:rPr>
          <w:rStyle w:val="VerbatimChar"/>
        </w:rPr>
        <w:t xml:space="preserve">##  [6] "C:/TEMP/projects/causes-of-deaths//R/020_aggregate_fit_deaths.R"          </w:t>
      </w:r>
      <w:r>
        <w:br/>
      </w:r>
      <w:r>
        <w:rPr>
          <w:rStyle w:val="VerbatimChar"/>
        </w:rPr>
        <w:t xml:space="preserve">##  [7] "C:/TEMP/projects/causes-of-deaths//R/021_aggregate_pand_deaths.R"         </w:t>
      </w:r>
      <w:r>
        <w:br/>
      </w:r>
      <w:r>
        <w:rPr>
          <w:rStyle w:val="VerbatimChar"/>
        </w:rPr>
        <w:t xml:space="preserve">##  [8] "C:/TEMP/projects/causes-of-deaths//R/030_run_stan_mod3_by_age_cause.R"    </w:t>
      </w:r>
      <w:r>
        <w:br/>
      </w:r>
      <w:r>
        <w:rPr>
          <w:rStyle w:val="VerbatimChar"/>
        </w:rPr>
        <w:t xml:space="preserve">##  [9] "C:/TEMP/projects/causes-of-deaths//R/101_get_icd10.R"                     </w:t>
      </w:r>
      <w:r>
        <w:br/>
      </w:r>
      <w:r>
        <w:rPr>
          <w:rStyle w:val="VerbatimChar"/>
        </w:rPr>
        <w:t xml:space="preserve">## [10] "C:/TEMP/projects/causes-of-deaths//R/102_combine_cod_icd10.R"             </w:t>
      </w:r>
      <w:r>
        <w:br/>
      </w:r>
      <w:r>
        <w:rPr>
          <w:rStyle w:val="VerbatimChar"/>
        </w:rPr>
        <w:t xml:space="preserve">## [11] "C:/TEMP/projects/causes-of-deaths//R/103_aggregate_cod.R"                 </w:t>
      </w:r>
      <w:r>
        <w:br/>
      </w:r>
      <w:r>
        <w:rPr>
          <w:rStyle w:val="VerbatimChar"/>
        </w:rPr>
        <w:t xml:space="preserve">## [12] "C:/TEMP/projects/causes-of-deaths//R/104_load_attribute_pop.R"            </w:t>
      </w:r>
      <w:r>
        <w:br/>
      </w:r>
      <w:r>
        <w:rPr>
          <w:rStyle w:val="VerbatimChar"/>
        </w:rPr>
        <w:t xml:space="preserve">## [13] "C:/TEMP/projects/causes-of-deaths//R/105_load_attribute_pop_ctn.R"        </w:t>
      </w:r>
      <w:r>
        <w:br/>
      </w:r>
      <w:r>
        <w:rPr>
          <w:rStyle w:val="VerbatimChar"/>
        </w:rPr>
        <w:t xml:space="preserve">## [14] "C:/TEMP/projects/causes-of-deaths//R/130_run_stan_mod4_by_age_cod.R"      </w:t>
      </w:r>
      <w:r>
        <w:br/>
      </w:r>
      <w:r>
        <w:rPr>
          <w:rStyle w:val="VerbatimChar"/>
        </w:rPr>
        <w:t xml:space="preserve">## [15] "C:/TEMP/projects/causes-of-deaths//R/131_run_stan_mod5_by_age_cod.R"      </w:t>
      </w:r>
      <w:r>
        <w:br/>
      </w:r>
      <w:r>
        <w:rPr>
          <w:rStyle w:val="VerbatimChar"/>
        </w:rPr>
        <w:t xml:space="preserve">## [16] "C:/TEMP/projects/causes-of-deaths//R/132_run_stan_mod5_by_cod.R"          </w:t>
      </w:r>
      <w:r>
        <w:br/>
      </w:r>
      <w:r>
        <w:rPr>
          <w:rStyle w:val="VerbatimChar"/>
        </w:rPr>
        <w:t xml:space="preserve">## [17] "C:/TEMP/projects/causes-of-deaths//R/133_run_stan_mod6_by_cod.R"          </w:t>
      </w:r>
      <w:r>
        <w:br/>
      </w:r>
      <w:r>
        <w:rPr>
          <w:rStyle w:val="VerbatimChar"/>
        </w:rPr>
        <w:t xml:space="preserve">## [18] "C:/TEMP/projects/causes-of-deaths//R/134_run_stan_mod7_by_cod.R"          </w:t>
      </w:r>
      <w:r>
        <w:br/>
      </w:r>
      <w:r>
        <w:rPr>
          <w:rStyle w:val="VerbatimChar"/>
        </w:rPr>
        <w:t xml:space="preserve">## [19] "C:/TEMP/projects/causes-of-deaths//R/135_run_stan_mod8_by_cod.R"          </w:t>
      </w:r>
      <w:r>
        <w:br/>
      </w:r>
      <w:r>
        <w:rPr>
          <w:rStyle w:val="VerbatimChar"/>
        </w:rPr>
        <w:t xml:space="preserve">## [20] "C:/TEMP/projects/causes-of-deaths//R/140_aggregate_pand_stan.R"           </w:t>
      </w:r>
      <w:r>
        <w:br/>
      </w:r>
      <w:r>
        <w:rPr>
          <w:rStyle w:val="VerbatimChar"/>
        </w:rPr>
        <w:t xml:space="preserve">## [21] "C:/TEMP/projects/causes-of-deaths//R/141_aggregate_fit_stan.R"            </w:t>
      </w:r>
      <w:r>
        <w:br/>
      </w:r>
      <w:r>
        <w:rPr>
          <w:rStyle w:val="VerbatimChar"/>
        </w:rPr>
        <w:t xml:space="preserve">## [22] "C:/TEMP/projects/causes-of-deaths//R/142_aggregate_stan_mod6.R"           </w:t>
      </w:r>
      <w:r>
        <w:br/>
      </w:r>
      <w:r>
        <w:rPr>
          <w:rStyle w:val="VerbatimChar"/>
        </w:rPr>
        <w:t xml:space="preserve">## [23] "C:/TEMP/projects/causes-of-deaths//R/150_load_results_mod4.R"             </w:t>
      </w:r>
      <w:r>
        <w:br/>
      </w:r>
      <w:r>
        <w:rPr>
          <w:rStyle w:val="VerbatimChar"/>
        </w:rPr>
        <w:t xml:space="preserve">## [24] "C:/TEMP/projects/causes-of-deaths//R/151_load_results_mod6.R"             </w:t>
      </w:r>
      <w:r>
        <w:br/>
      </w:r>
      <w:r>
        <w:rPr>
          <w:rStyle w:val="VerbatimChar"/>
        </w:rPr>
        <w:t xml:space="preserve">## [25] "C:/TEMP/projects/causes-of-deaths//R/generic_functions.R"</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ConstantTok"/>
        </w:rPr>
        <w:t xml:space="preserve">FALSE</w:t>
      </w:r>
      <w:r>
        <w:rPr>
          <w:rStyle w:val="NormalTok"/>
        </w:rPr>
        <w:t xml:space="preserve">, </w:t>
      </w:r>
      <w:r>
        <w:rPr>
          <w:rStyle w:val="AttributeTok"/>
        </w:rPr>
        <w:t xml:space="preserve">message=</w:t>
      </w:r>
      <w:r>
        <w:rPr>
          <w:rStyle w:val="ConstantTok"/>
        </w:rPr>
        <w:t xml:space="preserve">FALSE</w:t>
      </w:r>
      <w:r>
        <w:rPr>
          <w:rStyle w:val="NormalTok"/>
        </w:rPr>
        <w:t xml:space="preserve">)</w:t>
      </w:r>
      <w:r>
        <w:br/>
      </w:r>
      <w:r>
        <w:br/>
      </w:r>
      <w:r>
        <w:rPr>
          <w:rStyle w:val="NormalTok"/>
        </w:rPr>
        <w:t xml:space="preserve">wd_ofsp </w:t>
      </w:r>
      <w:r>
        <w:rPr>
          <w:rStyle w:val="OtherTok"/>
        </w:rPr>
        <w:t xml:space="preserve">=</w:t>
      </w:r>
      <w:r>
        <w:rPr>
          <w:rStyle w:val="NormalTok"/>
        </w:rPr>
        <w:t xml:space="preserve"> </w:t>
      </w:r>
      <w:r>
        <w:rPr>
          <w:rStyle w:val="StringTok"/>
        </w:rPr>
        <w:t xml:space="preserve">"L:/UNISANTE_DESS/S_SUMAC/OFSP_2023/"</w:t>
      </w:r>
      <w:r>
        <w:br/>
      </w:r>
      <w:r>
        <w:rPr>
          <w:rStyle w:val="NormalTok"/>
        </w:rPr>
        <w:t xml:space="preserve">data_folder </w:t>
      </w:r>
      <w:r>
        <w:rPr>
          <w:rStyle w:val="OtherTok"/>
        </w:rPr>
        <w:t xml:space="preserve">=</w:t>
      </w:r>
      <w:r>
        <w:rPr>
          <w:rStyle w:val="NormalTok"/>
        </w:rPr>
        <w:t xml:space="preserve"> </w:t>
      </w:r>
      <w:r>
        <w:rPr>
          <w:rStyle w:val="FunctionTok"/>
        </w:rPr>
        <w:t xml:space="preserve">paste0</w:t>
      </w:r>
      <w:r>
        <w:rPr>
          <w:rStyle w:val="NormalTok"/>
        </w:rPr>
        <w:t xml:space="preserve">(wd_ofsp,</w:t>
      </w:r>
      <w:r>
        <w:rPr>
          <w:rStyle w:val="StringTok"/>
        </w:rPr>
        <w:t xml:space="preserve">"02_data/cause_of_death/"</w:t>
      </w:r>
      <w:r>
        <w:rPr>
          <w:rStyle w:val="NormalTok"/>
        </w:rPr>
        <w:t xml:space="preserve">)</w:t>
      </w:r>
    </w:p>
    <w:p>
      <w:pPr>
        <w:pStyle w:val="SourceCode"/>
      </w:pPr>
      <w:r>
        <w:rPr>
          <w:rStyle w:val="VerbatimChar"/>
        </w:rPr>
        <w:t xml:space="preserve">## [1] "-------------------------"</w:t>
      </w:r>
    </w:p>
    <w:p>
      <w:pPr>
        <w:pStyle w:val="SourceCode"/>
      </w:pPr>
      <w:r>
        <w:rPr>
          <w:rStyle w:val="VerbatimChar"/>
        </w:rPr>
        <w:t xml:space="preserve">## [1] "C:/TEMP/projects/causes-of-deaths/"</w:t>
      </w:r>
    </w:p>
    <w:p>
      <w:pPr>
        <w:pStyle w:val="SourceCode"/>
      </w:pPr>
      <w:r>
        <w:rPr>
          <w:rStyle w:val="VerbatimChar"/>
        </w:rPr>
        <w:t xml:space="preserve">## [1] "C:/TEMP/projects/causes-of-deaths/savepoint/cod_ind_df.RDS"</w:t>
      </w:r>
    </w:p>
    <w:bookmarkStart w:id="21" w:name="abstract"/>
    <w:p>
      <w:pPr>
        <w:pStyle w:val="Titre1"/>
      </w:pPr>
      <w:r>
        <w:rPr>
          <w:rStyle w:val="SectionNumber"/>
        </w:rPr>
        <w:t xml:space="preserve">1</w:t>
      </w:r>
      <w:r>
        <w:tab/>
      </w:r>
      <w:r>
        <w:t xml:space="preserve">Abstract</w:t>
      </w:r>
    </w:p>
    <w:p>
      <w:pPr>
        <w:pStyle w:val="FirstParagraph"/>
      </w:pPr>
      <w:r>
        <w:rPr>
          <w:bCs/>
          <w:b/>
        </w:rPr>
        <w:t xml:space="preserve">Introduction</w:t>
      </w:r>
    </w:p>
    <w:p>
      <w:pPr>
        <w:pStyle w:val="Corpsdetexte"/>
      </w:pPr>
      <w:r>
        <w:rPr>
          <w:bCs/>
          <w:b/>
        </w:rPr>
        <w:t xml:space="preserve">Methods and Findings</w:t>
      </w:r>
    </w:p>
    <w:p>
      <w:pPr>
        <w:pStyle w:val="Corpsdetexte"/>
      </w:pPr>
      <w:r>
        <w:rPr>
          <w:bCs/>
          <w:b/>
        </w:rPr>
        <w:t xml:space="preserve">Conclusion</w:t>
      </w:r>
    </w:p>
    <w:p>
      <w:pPr>
        <w:pStyle w:val="Corpsdetexte"/>
      </w:pPr>
    </w:p>
    <w:bookmarkEnd w:id="21"/>
    <w:bookmarkStart w:id="22" w:name="introduction"/>
    <w:p>
      <w:pPr>
        <w:pStyle w:val="Titre1"/>
      </w:pPr>
      <w:r>
        <w:rPr>
          <w:rStyle w:val="SectionNumber"/>
        </w:rPr>
        <w:t xml:space="preserve">2</w:t>
      </w:r>
      <w:r>
        <w:tab/>
      </w:r>
      <w:r>
        <w:t xml:space="preserve">Introduction</w:t>
      </w:r>
    </w:p>
    <w:p>
      <w:r>
        <w:br w:type="page"/>
      </w:r>
    </w:p>
    <w:bookmarkEnd w:id="22"/>
    <w:bookmarkStart w:id="27" w:name="methods"/>
    <w:p>
      <w:pPr>
        <w:pStyle w:val="Titre1"/>
      </w:pPr>
      <w:r>
        <w:rPr>
          <w:rStyle w:val="SectionNumber"/>
        </w:rPr>
        <w:t xml:space="preserve">3</w:t>
      </w:r>
      <w:r>
        <w:tab/>
      </w:r>
      <w:r>
        <w:t xml:space="preserve">Methods</w:t>
      </w:r>
    </w:p>
    <w:bookmarkStart w:id="23" w:name="data"/>
    <w:p>
      <w:pPr>
        <w:pStyle w:val="Titre2"/>
      </w:pPr>
      <w:r>
        <w:rPr>
          <w:rStyle w:val="SectionNumber"/>
        </w:rPr>
        <w:t xml:space="preserve">3.1</w:t>
      </w:r>
      <w:r>
        <w:tab/>
      </w:r>
      <w:r>
        <w:t xml:space="preserve">Data</w:t>
      </w:r>
    </w:p>
    <w:bookmarkEnd w:id="23"/>
    <w:bookmarkStart w:id="24" w:name="model"/>
    <w:p>
      <w:pPr>
        <w:pStyle w:val="Titre2"/>
      </w:pPr>
      <w:r>
        <w:rPr>
          <w:rStyle w:val="SectionNumber"/>
        </w:rPr>
        <w:t xml:space="preserve">3.2</w:t>
      </w:r>
      <w:r>
        <w:tab/>
      </w:r>
      <w:r>
        <w:t xml:space="preserve">Model</w:t>
      </w:r>
    </w:p>
    <w:bookmarkEnd w:id="24"/>
    <w:bookmarkStart w:id="25" w:name="outcome"/>
    <w:p>
      <w:pPr>
        <w:pStyle w:val="Titre2"/>
      </w:pPr>
      <w:r>
        <w:rPr>
          <w:rStyle w:val="SectionNumber"/>
        </w:rPr>
        <w:t xml:space="preserve">3.3</w:t>
      </w:r>
      <w:r>
        <w:tab/>
      </w:r>
      <w:r>
        <w:t xml:space="preserve">Outcome</w:t>
      </w:r>
    </w:p>
    <w:bookmarkEnd w:id="25"/>
    <w:bookmarkStart w:id="26" w:name="inference"/>
    <w:p>
      <w:pPr>
        <w:pStyle w:val="Titre2"/>
      </w:pPr>
      <w:r>
        <w:rPr>
          <w:rStyle w:val="SectionNumber"/>
        </w:rPr>
        <w:t xml:space="preserve">3.4</w:t>
      </w:r>
      <w:r>
        <w:tab/>
      </w:r>
      <w:r>
        <w:t xml:space="preserve">Inference</w:t>
      </w:r>
    </w:p>
    <w:p>
      <w:r>
        <w:br w:type="page"/>
      </w:r>
    </w:p>
    <w:bookmarkEnd w:id="26"/>
    <w:bookmarkEnd w:id="27"/>
    <w:bookmarkStart w:id="31" w:name="results"/>
    <w:p>
      <w:pPr>
        <w:pStyle w:val="Titre1"/>
      </w:pPr>
      <w:r>
        <w:rPr>
          <w:rStyle w:val="SectionNumber"/>
        </w:rPr>
        <w:t xml:space="preserve">4</w:t>
      </w:r>
      <w:r>
        <w:tab/>
      </w:r>
      <w:r>
        <w:t xml:space="preserve">Results</w:t>
      </w:r>
    </w:p>
    <w:bookmarkStart w:id="28" w:name="before-2020"/>
    <w:p>
      <w:pPr>
        <w:pStyle w:val="Titre2"/>
      </w:pPr>
      <w:r>
        <w:rPr>
          <w:rStyle w:val="SectionNumber"/>
        </w:rPr>
        <w:t xml:space="preserve">4.1</w:t>
      </w:r>
      <w:r>
        <w:tab/>
      </w:r>
      <w:r>
        <w:t xml:space="preserve">Before 2020</w:t>
      </w:r>
    </w:p>
    <w:bookmarkEnd w:id="28"/>
    <w:bookmarkStart w:id="29" w:name="excess-all-cause"/>
    <w:p>
      <w:pPr>
        <w:pStyle w:val="Titre2"/>
      </w:pPr>
      <w:r>
        <w:rPr>
          <w:rStyle w:val="SectionNumber"/>
        </w:rPr>
        <w:t xml:space="preserve">4.2</w:t>
      </w:r>
      <w:r>
        <w:tab/>
      </w:r>
      <w:r>
        <w:t xml:space="preserve">Excess all-cause</w:t>
      </w:r>
    </w:p>
    <w:bookmarkEnd w:id="29"/>
    <w:bookmarkStart w:id="30" w:name="X98682207778f68cd5eac71c350b3d573ba72129"/>
    <w:p>
      <w:pPr>
        <w:pStyle w:val="Titre2"/>
      </w:pPr>
      <w:r>
        <w:rPr>
          <w:rStyle w:val="SectionNumber"/>
        </w:rPr>
        <w:t xml:space="preserve">4.3</w:t>
      </w:r>
      <w:r>
        <w:tab/>
      </w:r>
      <w:r>
        <w:t xml:space="preserve">CV, cancer, dementia and infectious or respiratory diseases</w:t>
      </w:r>
    </w:p>
    <w:p>
      <w:r>
        <w:br w:type="page"/>
      </w:r>
    </w:p>
    <w:bookmarkEnd w:id="30"/>
    <w:bookmarkEnd w:id="31"/>
    <w:bookmarkStart w:id="32" w:name="discussion"/>
    <w:p>
      <w:pPr>
        <w:pStyle w:val="Titre1"/>
      </w:pPr>
      <w:r>
        <w:rPr>
          <w:rStyle w:val="SectionNumber"/>
        </w:rPr>
        <w:t xml:space="preserve">5</w:t>
      </w:r>
      <w:r>
        <w:tab/>
      </w:r>
      <w:r>
        <w:t xml:space="preserve">Discussion</w:t>
      </w:r>
    </w:p>
    <w:p>
      <w:pPr>
        <w:pStyle w:val="FirstParagraph"/>
      </w:pPr>
      <w:r>
        <w:rPr>
          <w:bCs/>
          <w:b/>
        </w:rPr>
        <w:t xml:space="preserve">Summary</w:t>
      </w:r>
    </w:p>
    <w:p>
      <w:pPr>
        <w:pStyle w:val="Corpsdetexte"/>
      </w:pPr>
      <w:r>
        <w:rPr>
          <w:bCs/>
          <w:b/>
        </w:rPr>
        <w:t xml:space="preserve">Comparison with other studies</w:t>
      </w:r>
    </w:p>
    <w:p>
      <w:pPr>
        <w:pStyle w:val="Corpsdetexte"/>
      </w:pPr>
      <w:r>
        <w:rPr>
          <w:bCs/>
          <w:b/>
        </w:rPr>
        <w:t xml:space="preserve">Natural experiment: synchronicity between flu and CV/dementia</w:t>
      </w:r>
    </w:p>
    <w:p>
      <w:pPr>
        <w:pStyle w:val="Corpsdetexte"/>
      </w:pPr>
      <w:r>
        <w:rPr>
          <w:bCs/>
          <w:b/>
        </w:rPr>
        <w:t xml:space="preserve">Potential explanations for the observed patterns: 3 types of disruption</w:t>
      </w:r>
    </w:p>
    <w:p>
      <w:pPr>
        <w:pStyle w:val="Corpsdetexte"/>
      </w:pPr>
      <w:r>
        <w:rPr>
          <w:bCs/>
          <w:b/>
        </w:rPr>
        <w:t xml:space="preserve">Strengths, limitations, perspectives</w:t>
      </w:r>
    </w:p>
    <w:p>
      <w:pPr>
        <w:pStyle w:val="Corpsdetexte"/>
      </w:pPr>
      <w:r>
        <w:rPr>
          <w:bCs/>
          <w:b/>
        </w:rPr>
        <w:t xml:space="preserve">Conclusion</w:t>
      </w:r>
    </w:p>
    <w:p>
      <w:pPr>
        <w:pStyle w:val="Corpsdetexte"/>
      </w:pPr>
    </w:p>
    <w:bookmarkEnd w:id="32"/>
    <w:bookmarkStart w:id="36" w:name="figures"/>
    <w:p>
      <w:pPr>
        <w:pStyle w:val="Titre1"/>
      </w:pPr>
      <w:r>
        <w:rPr>
          <w:rStyle w:val="SectionNumber"/>
        </w:rPr>
        <w:t xml:space="preserve">6</w:t>
      </w:r>
      <w:r>
        <w:tab/>
      </w:r>
      <w:r>
        <w:t xml:space="preserve">Figures</w:t>
      </w:r>
    </w:p>
    <w:p>
      <w:pPr>
        <w:pStyle w:val="FirstParagraph"/>
      </w:pPr>
      <w:r>
        <w:drawing>
          <wp:inline>
            <wp:extent cx="5943600" cy="5943600"/>
            <wp:effectExtent b="0" l="0" r="0" t="0"/>
            <wp:docPr descr="" title="" id="34" name="Picture"/>
            <a:graphic>
              <a:graphicData uri="http://schemas.openxmlformats.org/drawingml/2006/picture">
                <pic:pic>
                  <pic:nvPicPr>
                    <pic:cNvPr descr="causes-of_deaths_files/figure-docx/unnamed-chunk-6-1.png" id="35" name="Picture"/>
                    <pic:cNvPicPr>
                      <a:picLocks noChangeArrowheads="1" noChangeAspect="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pPr>
        <w:pStyle w:val="Corpsdetexte"/>
      </w:pPr>
      <w:r>
        <w:rPr>
          <w:bCs/>
          <w:b/>
        </w:rPr>
        <w:t xml:space="preserve">Figure 1.</w:t>
      </w:r>
      <w:r>
        <w:t xml:space="preserve"> </w:t>
      </w:r>
      <w:r>
        <w:t xml:space="preserve">Social contact data and mobility data.</w:t>
      </w:r>
      <w:r>
        <w:t xml:space="preserve"> </w:t>
      </w:r>
      <w:r>
        <w:t xml:space="preserve">(A) Number of participants by survey wave and by country. The opaque part corresponds to the newly enrolled participations (i.e., contributing for the first time), while the more transparent part corresponds to participants that have already taken part in the survey before.</w:t>
      </w:r>
      <w:r>
        <w:t xml:space="preserve"> </w:t>
      </w:r>
      <w:r>
        <w:t xml:space="preserve">(B) Age distribution. The colored bars display the number of participants by age classes for the four countries. The grey bars in the backgrounds reflect the age distribution in the general population.</w:t>
      </w:r>
      <w:r>
        <w:t xml:space="preserve"> </w:t>
      </w:r>
      <w:r>
        <w:t xml:space="preserve">(C) Distribution of the number of survey round participated.</w:t>
      </w:r>
      <w:r>
        <w:t xml:space="preserve"> </w:t>
      </w:r>
      <w:r>
        <w:t xml:space="preserve">(D) Google work-related mobility data. The mobility levels during the weekdays (Monday-Friday) and weekends (Saturday-Sunday) are averaged weekly.</w:t>
      </w:r>
    </w:p>
    <w:p>
      <w:pPr>
        <w:pStyle w:val="Corpsdetexte"/>
      </w:pPr>
      <w:r>
        <w:rPr>
          <w:bCs/>
          <w:b/>
        </w:rPr>
        <w:t xml:space="preserve">Figure 2.</w:t>
      </w:r>
      <w:r>
        <w:t xml:space="preserve"> </w:t>
      </w:r>
      <w:r>
        <w:t xml:space="preserve">Survey fatigue and effect of mobility on contacts.</w:t>
      </w:r>
      <w:r>
        <w:t xml:space="preserve"> </w:t>
      </w:r>
      <w:r>
        <w:t xml:space="preserve">(A) Survey fatigue on the probability of reporting no contact</w:t>
      </w:r>
      <w:r>
        <w:t xml:space="preserve"> </w:t>
      </w:r>
      <m:oMath>
        <m:r>
          <m:t>θ</m:t>
        </m:r>
      </m:oMath>
      <w:r>
        <w:t xml:space="preserve">. The odds ratio (OR) of reporting zero contact is displayed according to the survey round and country</w:t>
      </w:r>
      <w:r>
        <w:t xml:space="preserve"> </w:t>
      </w:r>
      <w:r>
        <w:t xml:space="preserve">(B) Survey fatigue on the contact rate</w:t>
      </w:r>
      <w:r>
        <w:t xml:space="preserve"> </w:t>
      </w:r>
      <m:oMath>
        <m:r>
          <m:t>λ</m:t>
        </m:r>
      </m:oMath>
      <w:r>
        <w:t xml:space="preserve">. The relative number of contacts (relatively to the contact rate</w:t>
      </w:r>
      <w:r>
        <w:t xml:space="preserve"> </w:t>
      </w:r>
      <m:oMath>
        <m:r>
          <m:t>λ</m:t>
        </m:r>
      </m:oMath>
      <w:r>
        <w:t xml:space="preserve">) is displayed according to the survey round and country.</w:t>
      </w:r>
      <w:r>
        <w:t xml:space="preserve"> </w:t>
      </w:r>
      <w:r>
        <w:t xml:space="preserve">(C) Effect of mobility on the probability of reporting no contact and on the contact rate. The estimated effects are displayed for the four countries and with or without adjusting for long-term trend through Gaussian process (GP).</w:t>
      </w:r>
    </w:p>
    <w:p>
      <w:pPr>
        <w:pStyle w:val="Corpsdetexte"/>
      </w:pPr>
      <w:r>
        <w:rPr>
          <w:bCs/>
          <w:b/>
        </w:rPr>
        <w:t xml:space="preserve">Figure 3.</w:t>
      </w:r>
      <w:r>
        <w:t xml:space="preserve"> </w:t>
      </w:r>
      <w:r>
        <w:t xml:space="preserve">Model fits for the UK.</w:t>
      </w:r>
      <w:r>
        <w:t xml:space="preserve"> </w:t>
      </w:r>
      <w:r>
        <w:t xml:space="preserve">(A) Probability of having contacts at work, as estimated by the survey model (red points with vertical lines) and as predicted by the mobility model (colored lines). We shows the predictions of three versions of the mobility model: 1) considering the full period (black), 2) adjusting for the long-term change of contact rate (blue) and 3) limiting to the period until February 2021 (green). For the probability of having contacts at work, we do not show the results of the full period without adjustment of the long-term change, as it is almost indistinguishable from the analysis when adjusting for it. The red points corresponds to the mean posterior estimates by survey wave, and the vertical line shows the related 95% credibility interval (95%CrI).</w:t>
      </w:r>
      <w:r>
        <w:t xml:space="preserve"> </w:t>
      </w:r>
      <w:r>
        <w:t xml:space="preserve">The colored lines correspond to the (weekly) mean posterior estimates and the gray area corresponds to the 95%CrI. The exact definition of the posterior estimates is given in Supplementary S1.3.2.</w:t>
      </w:r>
      <w:r>
        <w:t xml:space="preserve"> </w:t>
      </w:r>
      <w:r>
        <w:t xml:space="preserve">(B) Contact rate at work as estimated by the survey model (red) and as predicted by the mobility model (black).</w:t>
      </w:r>
      <w:r>
        <w:t xml:space="preserve"> </w:t>
      </w:r>
      <w:r>
        <w:t xml:space="preserve">(C) Probability of having contacts at work as estimated by the survey model (red) and as predicted by the mobility model (black), according to mobility level. The different levels of darkness in the red estimates of the survey model depicts the different survey waves.</w:t>
      </w:r>
    </w:p>
    <w:p>
      <w:pPr>
        <w:pStyle w:val="Corpsdetexte"/>
      </w:pPr>
      <w:r>
        <w:rPr>
          <w:bCs/>
          <w:b/>
        </w:rPr>
        <w:t xml:space="preserve">Figure 4.</w:t>
      </w:r>
      <w:r>
        <w:t xml:space="preserve"> </w:t>
      </w:r>
      <w:r>
        <w:t xml:space="preserve">Baseline estimates.</w:t>
      </w:r>
      <w:r>
        <w:t xml:space="preserve"> </w:t>
      </w:r>
      <w:r>
        <w:t xml:space="preserve">(A) Baseline proportion of individuals having work-related contacts as estimated by various prepandemic data and by the mobility model, stratified by age classes.</w:t>
      </w:r>
      <w:r>
        <w:t xml:space="preserve"> </w:t>
      </w:r>
      <w:r>
        <w:t xml:space="preserve">The points corresponds to the mean estimate and the vertical bars to the 95%CrI.</w:t>
      </w:r>
      <w:r>
        <w:t xml:space="preserve"> </w:t>
      </w:r>
      <w:r>
        <w:t xml:space="preserve">(B) Baseline conditional number of work-related contacts as estimated by various prepandemic data and by the mobility model, stratified by age classes.</w:t>
      </w:r>
    </w:p>
    <w:p>
      <w:r>
        <w:br w:type="page"/>
      </w:r>
    </w:p>
    <w:bookmarkEnd w:id="36"/>
    <w:bookmarkStart w:id="37" w:name="data-sharing-statement"/>
    <w:p>
      <w:pPr>
        <w:pStyle w:val="Titre1"/>
      </w:pPr>
      <w:r>
        <w:rPr>
          <w:rStyle w:val="SectionNumber"/>
        </w:rPr>
        <w:t xml:space="preserve">7</w:t>
      </w:r>
      <w:r>
        <w:tab/>
      </w:r>
      <w:r>
        <w:t xml:space="preserve">Data sharing statement</w:t>
      </w:r>
    </w:p>
    <w:bookmarkEnd w:id="37"/>
    <w:bookmarkStart w:id="38" w:name="acknowledgements"/>
    <w:p>
      <w:pPr>
        <w:pStyle w:val="Titre1"/>
      </w:pPr>
      <w:r>
        <w:rPr>
          <w:rStyle w:val="SectionNumber"/>
        </w:rPr>
        <w:t xml:space="preserve">8</w:t>
      </w:r>
      <w:r>
        <w:tab/>
      </w:r>
      <w:r>
        <w:t xml:space="preserve">Acknowledgements</w:t>
      </w:r>
    </w:p>
    <w:p>
      <w:r>
        <w:br w:type="page"/>
      </w:r>
    </w:p>
    <w:bookmarkEnd w:id="38"/>
    <w:bookmarkStart w:id="39" w:name="references"/>
    <w:p>
      <w:pPr>
        <w:pStyle w:val="Titre1"/>
      </w:pPr>
      <w:r>
        <w:rPr>
          <w:rStyle w:val="SectionNumber"/>
        </w:rPr>
        <w:t xml:space="preserve">9</w:t>
      </w:r>
      <w:r>
        <w:tab/>
      </w:r>
      <w:r>
        <w:t xml:space="preserve">References</w:t>
      </w:r>
    </w:p>
    <w:bookmarkEnd w:id="39"/>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ko-KR"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Titre2" w:type="paragraph">
    <w:name w:val="heading 2"/>
    <w:basedOn w:val="Normal"/>
    <w:next w:val="Corpsdetex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C263CF"/>
    <w:pPr>
      <w:spacing w:after="180" w:before="180"/>
    </w:pPr>
    <w:rPr>
      <w:sz w:val="22"/>
    </w:rPr>
  </w:style>
  <w:style w:customStyle="1" w:styleId="FirstParagraph" w:type="paragraph">
    <w:name w:val="First Paragraph"/>
    <w:basedOn w:val="Corpsdetexte"/>
    <w:next w:val="Corpsdetexte"/>
    <w:qFormat/>
    <w:rsid w:val="00C263CF"/>
  </w:style>
  <w:style w:customStyle="1" w:styleId="Compact" w:type="paragraph">
    <w:name w:val="Compact"/>
    <w:basedOn w:val="Corpsdetexte"/>
    <w:qFormat/>
    <w:pPr>
      <w:spacing w:after="36" w:before="36"/>
    </w:pPr>
  </w:style>
  <w:style w:styleId="Titre" w:type="paragraph">
    <w:name w:val="Title"/>
    <w:basedOn w:val="Normal"/>
    <w:next w:val="Corpsdetex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rsid w:val="003F1726"/>
    <w:pPr>
      <w:keepNext/>
      <w:keepLines/>
      <w:spacing w:after="120" w:before="120" w:line="360" w:lineRule="auto"/>
    </w:pPr>
    <w:rPr>
      <w:sz w:val="20"/>
    </w:r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tte" w:type="paragraph">
    <w:name w:val="header"/>
    <w:basedOn w:val="Normal"/>
    <w:link w:val="En-tteCar"/>
    <w:unhideWhenUsed/>
    <w:rsid w:val="002E4C3F"/>
    <w:pPr>
      <w:tabs>
        <w:tab w:pos="4513" w:val="center"/>
        <w:tab w:pos="9026" w:val="right"/>
      </w:tabs>
      <w:spacing w:after="0"/>
    </w:pPr>
  </w:style>
  <w:style w:customStyle="1" w:styleId="En-tteCar" w:type="character">
    <w:name w:val="En-tête Car"/>
    <w:basedOn w:val="Policepardfaut"/>
    <w:link w:val="En-tte"/>
    <w:rsid w:val="002E4C3F"/>
  </w:style>
  <w:style w:styleId="Pieddepage" w:type="paragraph">
    <w:name w:val="footer"/>
    <w:basedOn w:val="Normal"/>
    <w:link w:val="PieddepageCar"/>
    <w:unhideWhenUsed/>
    <w:rsid w:val="002E4C3F"/>
    <w:pPr>
      <w:tabs>
        <w:tab w:pos="4513" w:val="center"/>
        <w:tab w:pos="9026" w:val="right"/>
      </w:tabs>
      <w:spacing w:after="0"/>
    </w:pPr>
  </w:style>
  <w:style w:customStyle="1" w:styleId="PieddepageCar" w:type="character">
    <w:name w:val="Pied de page Car"/>
    <w:basedOn w:val="Policepardfaut"/>
    <w:link w:val="Pieddepage"/>
    <w:rsid w:val="002E4C3F"/>
  </w:style>
  <w:style w:styleId="Textedelespacerserv" w:type="character">
    <w:name w:val="Placeholder Text"/>
    <w:basedOn w:val="Policepardfaut"/>
    <w:semiHidden/>
    <w:rsid w:val="002E4C3F"/>
    <w:rPr>
      <w:color w:val="808080"/>
    </w:rPr>
  </w:style>
  <w:style w:customStyle="1" w:styleId="CorpsdetexteCar" w:type="character">
    <w:name w:val="Corps de texte Car"/>
    <w:basedOn w:val="Policepardfaut"/>
    <w:link w:val="Corpsdetexte"/>
    <w:rsid w:val="002E4C3F"/>
    <w:rPr>
      <w:sz w:val="22"/>
    </w:rPr>
  </w:style>
  <w:style w:customStyle="1" w:styleId="SmallText" w:type="paragraph">
    <w:name w:val="SmallText"/>
    <w:basedOn w:val="Corpsdetexte"/>
    <w:link w:val="SmallTextCar"/>
    <w:qFormat/>
    <w:rsid w:val="00A6392B"/>
    <w:rPr>
      <w:sz w:val="16"/>
    </w:rPr>
  </w:style>
  <w:style w:customStyle="1" w:styleId="SmallTextCar" w:type="character">
    <w:name w:val="SmallText Car"/>
    <w:basedOn w:val="CorpsdetexteC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20" Target="mailto:anthony.hauser@unisante.ch" TargetMode="External" /></Relationships>
</file>

<file path=word/_rels/footnotes.xml.rels><?xml version="1.0" encoding="UTF-8"?><Relationships xmlns="http://schemas.openxmlformats.org/package/2006/relationships"><Relationship Type="http://schemas.openxmlformats.org/officeDocument/2006/relationships/hyperlink" Id="rId20" Target="mailto:anthony.hauser@unisan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Moritz Wagner (2), Anne Laube (2), Julien Riou (1)</dc:creator>
  <cp:keywords/>
  <dcterms:created xsi:type="dcterms:W3CDTF">2025-04-23T13:04:18Z</dcterms:created>
  <dcterms:modified xsi:type="dcterms:W3CDTF">2025-04-23T13:04:18Z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ieee.csl</vt:lpwstr>
  </property>
  <property fmtid="{D5CDD505-2E9C-101B-9397-08002B2CF9AE}" pid="4" name="date">
    <vt:lpwstr>Report generated on Date: 2025-04-23 Time: 15:02</vt:lpwstr>
  </property>
  <property fmtid="{D5CDD505-2E9C-101B-9397-08002B2CF9AE}" pid="5" name="output">
    <vt:lpwstr/>
  </property>
</Properties>
</file>