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49A3" w14:textId="4C9348B4" w:rsidR="00D87DD0" w:rsidRPr="00D87DD0" w:rsidRDefault="00D87DD0" w:rsidP="00D87DD0">
      <w:pPr>
        <w:rPr>
          <w:lang w:val="en-US"/>
        </w:rPr>
      </w:pPr>
      <w:r w:rsidRPr="00D87DD0">
        <w:rPr>
          <w:b/>
          <w:bCs/>
          <w:lang w:val="en-US"/>
        </w:rPr>
        <w:t>Objectives:</w:t>
      </w:r>
      <w:r w:rsidR="00805228">
        <w:rPr>
          <w:lang w:val="en-US"/>
        </w:rPr>
        <w:t xml:space="preserve"> </w:t>
      </w:r>
      <w:r w:rsidRPr="00D87DD0">
        <w:rPr>
          <w:lang w:val="en-US"/>
        </w:rPr>
        <w:t>To quantify cause-specific excess mortality in Switzerland during 2020–2021 and to examine how excess deaths from different causes were related throughout the COVID-19 pandemic.</w:t>
      </w:r>
    </w:p>
    <w:p w14:paraId="6E53BCEA" w14:textId="061D223A" w:rsidR="00D87DD0" w:rsidRPr="00D87DD0" w:rsidRDefault="00D87DD0" w:rsidP="00D87DD0">
      <w:pPr>
        <w:rPr>
          <w:lang w:val="en-US"/>
        </w:rPr>
      </w:pPr>
      <w:r w:rsidRPr="00D87DD0">
        <w:rPr>
          <w:b/>
          <w:bCs/>
          <w:lang w:val="en-US"/>
        </w:rPr>
        <w:t>Methods:</w:t>
      </w:r>
      <w:r w:rsidR="00805228">
        <w:rPr>
          <w:lang w:val="en-US"/>
        </w:rPr>
        <w:t xml:space="preserve"> </w:t>
      </w:r>
      <w:r w:rsidRPr="00D87DD0">
        <w:rPr>
          <w:lang w:val="en-US"/>
        </w:rPr>
        <w:t>Weekly deaths from 2011–2021 were aggregated by age, sex, region, and nine ICD-10 cause groups. For each age group, a Bayesian multivariate Poisson model was fitted to 2011–2019 data, incorporating seasonality, long-term trends, and a multivariate random effect to capture cross-cause dependence. Excess deaths were derived from the posterior predictive distribution as the difference between observed and expected deaths. For 2020–2021, partial correlations were used to assess associations between weekly excess mortality from non-COVID causes and COVID-19 mortality, as well as other respiratory diseases, adjusting for overlap between the two.</w:t>
      </w:r>
    </w:p>
    <w:p w14:paraId="1D8360E2" w14:textId="25F4138A" w:rsidR="00D87DD0" w:rsidRPr="00D87DD0" w:rsidRDefault="00D87DD0" w:rsidP="00D87DD0">
      <w:pPr>
        <w:rPr>
          <w:lang w:val="en-US"/>
        </w:rPr>
      </w:pPr>
      <w:r w:rsidRPr="00D87DD0">
        <w:rPr>
          <w:b/>
          <w:bCs/>
          <w:lang w:val="en-US"/>
        </w:rPr>
        <w:t>Results:</w:t>
      </w:r>
      <w:r w:rsidR="00805228">
        <w:rPr>
          <w:lang w:val="en-US"/>
        </w:rPr>
        <w:t xml:space="preserve"> </w:t>
      </w:r>
      <w:r w:rsidRPr="00D87DD0">
        <w:rPr>
          <w:lang w:val="en-US"/>
        </w:rPr>
        <w:t>The largest intermittent excess occurred during the autumn 2020 Alpha wave, when cardiovascular deaths increased by 14% (ages 65–79) and 11% (≥80). No cause showed sustained excess over the full 2020–2021 period. Among those ≥80, respiratory (–25%) and mental/neurological (–12%) deaths showed net deficits, largely offset by COVID-19 deaths, resulting in an overall all-cause excess of +4.5%. Positive partial correlations were observed in 2020–2021 between cardiovascular or mental/neurological excess mortality and both COVID-19 and non-COVID respiratory excess mortality. Strong correlations (</w:t>
      </w:r>
      <w:r w:rsidRPr="00D87DD0">
        <w:t>ρ</w:t>
      </w:r>
      <w:r w:rsidRPr="00D87DD0">
        <w:rPr>
          <w:lang w:val="en-US"/>
        </w:rPr>
        <w:t xml:space="preserve"> &gt; 0.80) between respiratory, cardiovascular, and mental/neurological excess deaths were also inferred for the pre-pandemic period (2011–2019).</w:t>
      </w:r>
    </w:p>
    <w:p w14:paraId="19D08C22" w14:textId="4FAB9C74" w:rsidR="00275D5A" w:rsidRPr="00275D5A" w:rsidRDefault="00D87DD0" w:rsidP="00275D5A">
      <w:pPr>
        <w:rPr>
          <w:lang w:val="en-US"/>
        </w:rPr>
      </w:pPr>
      <w:r w:rsidRPr="00D87DD0">
        <w:rPr>
          <w:b/>
          <w:bCs/>
          <w:lang w:val="en-US"/>
        </w:rPr>
        <w:t>Conclusion:</w:t>
      </w:r>
      <w:r w:rsidR="00805228">
        <w:rPr>
          <w:lang w:val="en-US"/>
        </w:rPr>
        <w:t xml:space="preserve"> </w:t>
      </w:r>
      <w:r w:rsidR="00275D5A" w:rsidRPr="00275D5A">
        <w:rPr>
          <w:lang w:val="en-US"/>
        </w:rPr>
        <w:t>The observed cause-specific patterns suggest that excess mortality during the pandemic cannot be interpreted in isolation by cause. Instead, they reflect three main mechanisms: (1) reduced circulation of non-COVID respiratory pathogens, (2) mortality displacement over time and across causes, and (3) unrecognized COVID-19 deaths (e.g., among cardiovascular causes). The presence of strong pre-pandemic cross-cause correlations between respiratory and other causes, such as cardiovascular diseases, suggests that this third mechanism is not unique to COVID-19 but may also apply to other respiratory infections.</w:t>
      </w:r>
    </w:p>
    <w:p w14:paraId="7509839F" w14:textId="6F40BB3E" w:rsidR="00805228" w:rsidRDefault="00D87DD0" w:rsidP="00D87DD0">
      <w:pPr>
        <w:rPr>
          <w:lang w:val="en-US"/>
        </w:rPr>
      </w:pPr>
      <w:r w:rsidRPr="00D87DD0">
        <w:rPr>
          <w:b/>
          <w:bCs/>
          <w:lang w:val="en-US"/>
        </w:rPr>
        <w:t>Practice Implications:</w:t>
      </w:r>
      <w:r w:rsidR="00805228">
        <w:rPr>
          <w:b/>
          <w:bCs/>
          <w:lang w:val="en-US"/>
        </w:rPr>
        <w:t xml:space="preserve"> </w:t>
      </w:r>
      <w:r w:rsidR="00805228" w:rsidRPr="00805228">
        <w:rPr>
          <w:lang w:val="en-US"/>
        </w:rPr>
        <w:t>The pandemic highlighted limitations of interpreting causes of death in isolation. Incorporating multiple-cause-of-death data and explicitly accounting for misclassification, mortality displacement, and competing risks can improve burden estimation and strengthen mortality surveillance and public health preparedness.</w:t>
      </w:r>
    </w:p>
    <w:p w14:paraId="42E31F35" w14:textId="77777777" w:rsidR="00DC2823" w:rsidRDefault="00DC2823" w:rsidP="00D87DD0">
      <w:pPr>
        <w:rPr>
          <w:lang w:val="en-US"/>
        </w:rPr>
      </w:pPr>
    </w:p>
    <w:p w14:paraId="5A4FC7E4" w14:textId="77777777" w:rsidR="00DC2823" w:rsidRDefault="00DC2823" w:rsidP="00D87DD0">
      <w:pPr>
        <w:rPr>
          <w:lang w:val="en-US"/>
        </w:rPr>
      </w:pPr>
    </w:p>
    <w:p w14:paraId="3EA3164F" w14:textId="77777777" w:rsidR="00DC2823" w:rsidRDefault="00DC2823" w:rsidP="00D87DD0">
      <w:pPr>
        <w:rPr>
          <w:lang w:val="en-US"/>
        </w:rPr>
      </w:pPr>
    </w:p>
    <w:p w14:paraId="1C4478A7" w14:textId="77777777" w:rsidR="00DC2823" w:rsidRDefault="00DC2823" w:rsidP="00D87DD0">
      <w:pPr>
        <w:rPr>
          <w:lang w:val="en-US"/>
        </w:rPr>
      </w:pPr>
    </w:p>
    <w:p w14:paraId="59C28FD5" w14:textId="77777777" w:rsidR="00DC2823" w:rsidRDefault="00DC2823" w:rsidP="00D87DD0">
      <w:pPr>
        <w:rPr>
          <w:lang w:val="en-US"/>
        </w:rPr>
      </w:pPr>
    </w:p>
    <w:p w14:paraId="71AC22D1" w14:textId="77777777" w:rsidR="00DC2823" w:rsidRDefault="00DC2823" w:rsidP="00D87DD0">
      <w:pPr>
        <w:rPr>
          <w:lang w:val="en-US"/>
        </w:rPr>
      </w:pPr>
    </w:p>
    <w:p w14:paraId="4239387E" w14:textId="77777777" w:rsidR="00DC2823" w:rsidRDefault="00DC2823" w:rsidP="00D87DD0">
      <w:pPr>
        <w:rPr>
          <w:lang w:val="en-US"/>
        </w:rPr>
      </w:pPr>
    </w:p>
    <w:p w14:paraId="3198355D" w14:textId="77777777" w:rsidR="00DC2823" w:rsidRDefault="00DC2823" w:rsidP="00D87DD0">
      <w:pPr>
        <w:rPr>
          <w:lang w:val="en-US"/>
        </w:rPr>
      </w:pPr>
    </w:p>
    <w:p w14:paraId="7123FEC8" w14:textId="77777777" w:rsidR="00DC2823" w:rsidRPr="00DC2823" w:rsidRDefault="00DC2823" w:rsidP="00DC2823">
      <w:pPr>
        <w:rPr>
          <w:lang w:val="en-US"/>
        </w:rPr>
      </w:pPr>
      <w:r w:rsidRPr="00DC2823">
        <w:rPr>
          <w:lang w:val="en-US"/>
        </w:rPr>
        <w:lastRenderedPageBreak/>
        <w:t>Objectives: To quantify cause-specific excess mortality in Switzerland during 2020 to 2021 and examine how excess deaths from different causes were related throughout the COVID-19 pandemic.</w:t>
      </w:r>
    </w:p>
    <w:p w14:paraId="0CF23C04" w14:textId="65C2EB6F" w:rsidR="00DC2823" w:rsidRPr="00DC2823" w:rsidRDefault="00DC2823" w:rsidP="00DC2823">
      <w:pPr>
        <w:rPr>
          <w:lang w:val="en-US"/>
        </w:rPr>
      </w:pPr>
      <w:r w:rsidRPr="00DC2823">
        <w:rPr>
          <w:lang w:val="en-US"/>
        </w:rPr>
        <w:t xml:space="preserve">Methods: Weekly deaths from 2011 to 2021 were aggregated by age, sex, region, and nine ICD-10 cause groups. For each age group, a Bayesian multivariate Poisson model was fitted to 2011 to 2019 data, accounting for seasonality, long-term trends, and cross-cause dependence. </w:t>
      </w:r>
      <w:r w:rsidR="00D97A1A" w:rsidRPr="00D97A1A">
        <w:rPr>
          <w:lang w:val="en-US"/>
        </w:rPr>
        <w:t>Excess deaths were calculated as the difference between observed deaths and those expected from the model.</w:t>
      </w:r>
      <w:r w:rsidR="00D97A1A">
        <w:rPr>
          <w:lang w:val="en-US"/>
        </w:rPr>
        <w:t xml:space="preserve"> </w:t>
      </w:r>
      <w:r w:rsidRPr="00DC2823">
        <w:rPr>
          <w:lang w:val="en-US"/>
        </w:rPr>
        <w:t>Partial correlations assessed associations between weekly excess mortality from non-COVID causes and COVID-19 or other respiratory diseases.</w:t>
      </w:r>
    </w:p>
    <w:p w14:paraId="43F51495" w14:textId="0C634F89" w:rsidR="00DC2823" w:rsidRPr="00DC2823" w:rsidRDefault="00DC2823" w:rsidP="00DC2823">
      <w:pPr>
        <w:rPr>
          <w:lang w:val="en-US"/>
        </w:rPr>
      </w:pPr>
      <w:r w:rsidRPr="00DC2823">
        <w:rPr>
          <w:lang w:val="en-US"/>
        </w:rPr>
        <w:t xml:space="preserve">Results: </w:t>
      </w:r>
      <w:r w:rsidRPr="00D87DD0">
        <w:rPr>
          <w:lang w:val="en-US"/>
        </w:rPr>
        <w:t>The largest intermittent excess occurred during the autumn 2020 Alpha wave, when cardiovascular deaths increased by 14</w:t>
      </w:r>
      <w:r>
        <w:rPr>
          <w:lang w:val="en-US"/>
        </w:rPr>
        <w:t>%</w:t>
      </w:r>
      <w:r w:rsidRPr="00D87DD0">
        <w:rPr>
          <w:lang w:val="en-US"/>
        </w:rPr>
        <w:t xml:space="preserve"> (ages 65–79) and 11% (</w:t>
      </w:r>
      <w:r>
        <w:rPr>
          <w:lang w:val="en-US"/>
        </w:rPr>
        <w:t xml:space="preserve">ages </w:t>
      </w:r>
      <w:r w:rsidRPr="00D87DD0">
        <w:rPr>
          <w:lang w:val="en-US"/>
        </w:rPr>
        <w:t>80</w:t>
      </w:r>
      <w:r>
        <w:rPr>
          <w:lang w:val="en-US"/>
        </w:rPr>
        <w:t xml:space="preserve"> and older</w:t>
      </w:r>
      <w:r w:rsidRPr="00D87DD0">
        <w:rPr>
          <w:lang w:val="en-US"/>
        </w:rPr>
        <w:t xml:space="preserve">). No cause showed sustained excess over the full 2020–2021 period. Among those </w:t>
      </w:r>
      <w:r>
        <w:rPr>
          <w:lang w:val="en-US"/>
        </w:rPr>
        <w:t>aged 80 and older</w:t>
      </w:r>
      <w:r w:rsidRPr="00D87DD0">
        <w:rPr>
          <w:lang w:val="en-US"/>
        </w:rPr>
        <w:t>, respiratory (–25%) and mental/neurological (–12%) deaths showed net deficits, largely offset by COVID-19 deaths, resulting in an overall all-cause excess of +4.5%. Positive partial correlations were observed in 2020–2021 between cardiovascular or mental/neurological excess mortality and both COVID-19 and non-COVID respiratory excess mortality. Strong correlations (</w:t>
      </w:r>
      <w:r w:rsidRPr="00D87DD0">
        <w:t>ρ</w:t>
      </w:r>
      <w:r w:rsidRPr="00D87DD0">
        <w:rPr>
          <w:lang w:val="en-US"/>
        </w:rPr>
        <w:t xml:space="preserve"> &gt; 0.80) between respiratory, cardiovascular, and mental/neurological excess deaths were also inferred for the pre-pandemic period (2011–2019).</w:t>
      </w:r>
    </w:p>
    <w:p w14:paraId="2C237BA3" w14:textId="15A5ACC2" w:rsidR="00DC2823" w:rsidRPr="00DC2823" w:rsidRDefault="00DC2823" w:rsidP="00DC2823">
      <w:pPr>
        <w:rPr>
          <w:lang w:val="en-US"/>
        </w:rPr>
      </w:pPr>
      <w:r w:rsidRPr="00DC2823">
        <w:rPr>
          <w:lang w:val="en-US"/>
        </w:rPr>
        <w:t xml:space="preserve">Conclusion: </w:t>
      </w:r>
      <w:r w:rsidRPr="00A9648B">
        <w:rPr>
          <w:lang w:val="en-US"/>
        </w:rPr>
        <w:t>Cause-specific mortality data provide essential insights into how the COVID-19 crisis disrupted mortality patterns across age groups and causes. Multiple mechanisms likely contributed to these shifts</w:t>
      </w:r>
      <w:r w:rsidRPr="00DC2823">
        <w:rPr>
          <w:lang w:val="en-US"/>
        </w:rPr>
        <w:t>:</w:t>
      </w:r>
      <w:r>
        <w:rPr>
          <w:lang w:val="en-US"/>
        </w:rPr>
        <w:t xml:space="preserve"> 1)</w:t>
      </w:r>
      <w:r w:rsidRPr="00DC2823">
        <w:rPr>
          <w:lang w:val="en-US"/>
        </w:rPr>
        <w:t xml:space="preserve"> reduced circulation of non-COVID respiratory pathogens, </w:t>
      </w:r>
      <w:r>
        <w:rPr>
          <w:lang w:val="en-US"/>
        </w:rPr>
        <w:t xml:space="preserve">2) </w:t>
      </w:r>
      <w:r w:rsidRPr="00DC2823">
        <w:rPr>
          <w:lang w:val="en-US"/>
        </w:rPr>
        <w:t>mortality displacement</w:t>
      </w:r>
      <w:r>
        <w:rPr>
          <w:lang w:val="en-US"/>
        </w:rPr>
        <w:t xml:space="preserve"> over time and</w:t>
      </w:r>
      <w:r w:rsidR="00D97A1A">
        <w:rPr>
          <w:lang w:val="en-US"/>
        </w:rPr>
        <w:t xml:space="preserve"> across</w:t>
      </w:r>
      <w:r>
        <w:rPr>
          <w:lang w:val="en-US"/>
        </w:rPr>
        <w:t xml:space="preserve"> causes</w:t>
      </w:r>
      <w:r w:rsidRPr="00DC2823">
        <w:rPr>
          <w:lang w:val="en-US"/>
        </w:rPr>
        <w:t xml:space="preserve">, and </w:t>
      </w:r>
      <w:r>
        <w:rPr>
          <w:lang w:val="en-US"/>
        </w:rPr>
        <w:t xml:space="preserve">3) </w:t>
      </w:r>
      <w:r w:rsidRPr="00DC2823">
        <w:rPr>
          <w:lang w:val="en-US"/>
        </w:rPr>
        <w:t xml:space="preserve">unrecognized COVID-19 deaths </w:t>
      </w:r>
      <w:r>
        <w:rPr>
          <w:lang w:val="en-US"/>
        </w:rPr>
        <w:t xml:space="preserve">(e.g., </w:t>
      </w:r>
      <w:r w:rsidRPr="00DC2823">
        <w:rPr>
          <w:lang w:val="en-US"/>
        </w:rPr>
        <w:t>among cardiovascular causes</w:t>
      </w:r>
      <w:r>
        <w:rPr>
          <w:lang w:val="en-US"/>
        </w:rPr>
        <w:t>)</w:t>
      </w:r>
      <w:r w:rsidRPr="00DC2823">
        <w:rPr>
          <w:lang w:val="en-US"/>
        </w:rPr>
        <w:t>. Strong pre-pandemic cross-cause correlations suggest that the third mechanism is not unique to COVID-19 but also applies to other respiratory infections.</w:t>
      </w:r>
    </w:p>
    <w:p w14:paraId="44DD55E3" w14:textId="77A603CA" w:rsidR="00DC2823" w:rsidRPr="00805228" w:rsidRDefault="00DC2823" w:rsidP="00D87DD0">
      <w:pPr>
        <w:rPr>
          <w:b/>
          <w:bCs/>
          <w:lang w:val="en-US"/>
        </w:rPr>
      </w:pPr>
      <w:r w:rsidRPr="00DC2823">
        <w:rPr>
          <w:lang w:val="en-US"/>
        </w:rPr>
        <w:t xml:space="preserve">Practice Implications: </w:t>
      </w:r>
      <w:r w:rsidRPr="00805228">
        <w:rPr>
          <w:lang w:val="en-US"/>
        </w:rPr>
        <w:t>The pandemic highlighted limitations of interpreting causes of death in isolation. Incorporating multiple-cause-of-death data and explicitly accounting for misclassification, mortality displacement, and competing risks can improve burden estimation and strengthen mortality surveillance and public health preparedness.</w:t>
      </w:r>
    </w:p>
    <w:p w14:paraId="62DFC294" w14:textId="77777777" w:rsidR="005535CE" w:rsidRPr="00D87DD0" w:rsidRDefault="005535CE">
      <w:pPr>
        <w:rPr>
          <w:lang w:val="en-US"/>
        </w:rPr>
      </w:pPr>
    </w:p>
    <w:sectPr w:rsidR="005535CE" w:rsidRPr="00D87D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D0"/>
    <w:rsid w:val="00181042"/>
    <w:rsid w:val="001D6D63"/>
    <w:rsid w:val="00275D5A"/>
    <w:rsid w:val="005535CE"/>
    <w:rsid w:val="00612E0E"/>
    <w:rsid w:val="00805228"/>
    <w:rsid w:val="008F5173"/>
    <w:rsid w:val="00D87DD0"/>
    <w:rsid w:val="00D97A1A"/>
    <w:rsid w:val="00DC282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AE2F"/>
  <w15:chartTrackingRefBased/>
  <w15:docId w15:val="{71A779A7-23F7-4270-BC86-B55D27C9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DD0"/>
    <w:rPr>
      <w:rFonts w:eastAsiaTheme="majorEastAsia" w:cstheme="majorBidi"/>
      <w:color w:val="272727" w:themeColor="text1" w:themeTint="D8"/>
    </w:rPr>
  </w:style>
  <w:style w:type="paragraph" w:styleId="Title">
    <w:name w:val="Title"/>
    <w:basedOn w:val="Normal"/>
    <w:next w:val="Normal"/>
    <w:link w:val="TitleChar"/>
    <w:uiPriority w:val="10"/>
    <w:qFormat/>
    <w:rsid w:val="00D8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DD0"/>
    <w:pPr>
      <w:spacing w:before="160"/>
      <w:jc w:val="center"/>
    </w:pPr>
    <w:rPr>
      <w:i/>
      <w:iCs/>
      <w:color w:val="404040" w:themeColor="text1" w:themeTint="BF"/>
    </w:rPr>
  </w:style>
  <w:style w:type="character" w:customStyle="1" w:styleId="QuoteChar">
    <w:name w:val="Quote Char"/>
    <w:basedOn w:val="DefaultParagraphFont"/>
    <w:link w:val="Quote"/>
    <w:uiPriority w:val="29"/>
    <w:rsid w:val="00D87DD0"/>
    <w:rPr>
      <w:i/>
      <w:iCs/>
      <w:color w:val="404040" w:themeColor="text1" w:themeTint="BF"/>
    </w:rPr>
  </w:style>
  <w:style w:type="paragraph" w:styleId="ListParagraph">
    <w:name w:val="List Paragraph"/>
    <w:basedOn w:val="Normal"/>
    <w:uiPriority w:val="34"/>
    <w:qFormat/>
    <w:rsid w:val="00D87DD0"/>
    <w:pPr>
      <w:ind w:left="720"/>
      <w:contextualSpacing/>
    </w:pPr>
  </w:style>
  <w:style w:type="character" w:styleId="IntenseEmphasis">
    <w:name w:val="Intense Emphasis"/>
    <w:basedOn w:val="DefaultParagraphFont"/>
    <w:uiPriority w:val="21"/>
    <w:qFormat/>
    <w:rsid w:val="00D87DD0"/>
    <w:rPr>
      <w:i/>
      <w:iCs/>
      <w:color w:val="0F4761" w:themeColor="accent1" w:themeShade="BF"/>
    </w:rPr>
  </w:style>
  <w:style w:type="paragraph" w:styleId="IntenseQuote">
    <w:name w:val="Intense Quote"/>
    <w:basedOn w:val="Normal"/>
    <w:next w:val="Normal"/>
    <w:link w:val="IntenseQuoteChar"/>
    <w:uiPriority w:val="30"/>
    <w:qFormat/>
    <w:rsid w:val="00D87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DD0"/>
    <w:rPr>
      <w:i/>
      <w:iCs/>
      <w:color w:val="0F4761" w:themeColor="accent1" w:themeShade="BF"/>
    </w:rPr>
  </w:style>
  <w:style w:type="character" w:styleId="IntenseReference">
    <w:name w:val="Intense Reference"/>
    <w:basedOn w:val="DefaultParagraphFont"/>
    <w:uiPriority w:val="32"/>
    <w:qFormat/>
    <w:rsid w:val="00D87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22470">
      <w:bodyDiv w:val="1"/>
      <w:marLeft w:val="0"/>
      <w:marRight w:val="0"/>
      <w:marTop w:val="0"/>
      <w:marBottom w:val="0"/>
      <w:divBdr>
        <w:top w:val="none" w:sz="0" w:space="0" w:color="auto"/>
        <w:left w:val="none" w:sz="0" w:space="0" w:color="auto"/>
        <w:bottom w:val="none" w:sz="0" w:space="0" w:color="auto"/>
        <w:right w:val="none" w:sz="0" w:space="0" w:color="auto"/>
      </w:divBdr>
    </w:div>
    <w:div w:id="490751393">
      <w:bodyDiv w:val="1"/>
      <w:marLeft w:val="0"/>
      <w:marRight w:val="0"/>
      <w:marTop w:val="0"/>
      <w:marBottom w:val="0"/>
      <w:divBdr>
        <w:top w:val="none" w:sz="0" w:space="0" w:color="auto"/>
        <w:left w:val="none" w:sz="0" w:space="0" w:color="auto"/>
        <w:bottom w:val="none" w:sz="0" w:space="0" w:color="auto"/>
        <w:right w:val="none" w:sz="0" w:space="0" w:color="auto"/>
      </w:divBdr>
    </w:div>
    <w:div w:id="649602765">
      <w:bodyDiv w:val="1"/>
      <w:marLeft w:val="0"/>
      <w:marRight w:val="0"/>
      <w:marTop w:val="0"/>
      <w:marBottom w:val="0"/>
      <w:divBdr>
        <w:top w:val="none" w:sz="0" w:space="0" w:color="auto"/>
        <w:left w:val="none" w:sz="0" w:space="0" w:color="auto"/>
        <w:bottom w:val="none" w:sz="0" w:space="0" w:color="auto"/>
        <w:right w:val="none" w:sz="0" w:space="0" w:color="auto"/>
      </w:divBdr>
    </w:div>
    <w:div w:id="1013066776">
      <w:bodyDiv w:val="1"/>
      <w:marLeft w:val="0"/>
      <w:marRight w:val="0"/>
      <w:marTop w:val="0"/>
      <w:marBottom w:val="0"/>
      <w:divBdr>
        <w:top w:val="none" w:sz="0" w:space="0" w:color="auto"/>
        <w:left w:val="none" w:sz="0" w:space="0" w:color="auto"/>
        <w:bottom w:val="none" w:sz="0" w:space="0" w:color="auto"/>
        <w:right w:val="none" w:sz="0" w:space="0" w:color="auto"/>
      </w:divBdr>
    </w:div>
    <w:div w:id="1314987033">
      <w:bodyDiv w:val="1"/>
      <w:marLeft w:val="0"/>
      <w:marRight w:val="0"/>
      <w:marTop w:val="0"/>
      <w:marBottom w:val="0"/>
      <w:divBdr>
        <w:top w:val="none" w:sz="0" w:space="0" w:color="auto"/>
        <w:left w:val="none" w:sz="0" w:space="0" w:color="auto"/>
        <w:bottom w:val="none" w:sz="0" w:space="0" w:color="auto"/>
        <w:right w:val="none" w:sz="0" w:space="0" w:color="auto"/>
      </w:divBdr>
    </w:div>
    <w:div w:id="149245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762</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1</cp:revision>
  <dcterms:created xsi:type="dcterms:W3CDTF">2026-02-01T21:13:00Z</dcterms:created>
  <dcterms:modified xsi:type="dcterms:W3CDTF">2026-02-01T22:15:00Z</dcterms:modified>
</cp:coreProperties>
</file>