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6D492" w14:textId="77777777" w:rsidR="00FA1852" w:rsidRPr="00FA1852" w:rsidRDefault="00FA1852" w:rsidP="00FA1852">
      <w:pPr>
        <w:rPr>
          <w:lang w:val="en-US"/>
        </w:rPr>
      </w:pPr>
      <w:r w:rsidRPr="00FA1852">
        <w:rPr>
          <w:lang w:val="en-US"/>
        </w:rPr>
        <w:br/>
        <w:t>The COVID-19 crisis reshaped mortality through both direct and indirect effects that are difficult to disentangle. Reported COVID-19 deaths capture only part of the impact due to diagnostic under-ascertainment, while control measures, healthcare disruption, infection sequelae, and mortality displacement affected deaths from other causes. Cause-specific mortality data are essential for identifying how these effects interact. This study aimed to quantify cause-specific excess mortality in Switzerland during 2020–21 and examine how excess deaths from different causes were related during the pandemic.</w:t>
      </w:r>
    </w:p>
    <w:p w14:paraId="7111D3EF" w14:textId="225DDACF" w:rsidR="00FA1852" w:rsidRPr="00FA1852" w:rsidRDefault="00FA1852" w:rsidP="00FA1852">
      <w:pPr>
        <w:rPr>
          <w:lang w:val="en-US"/>
        </w:rPr>
      </w:pPr>
      <w:r w:rsidRPr="00FA1852">
        <w:rPr>
          <w:lang w:val="en-US"/>
        </w:rPr>
        <w:t xml:space="preserve">We analyzed weekly deaths in Switzerland from 2011 to 2021, aggregated by age, sex, region, and nine ICD-10 cause groups. For each age group, we fitted a Bayesian multivariate Poisson model to 2011–2019 data, including Gaussian processes for seasonality and long-term trends, and a multivariate random effect </w:t>
      </w:r>
      <w:r>
        <w:rPr>
          <w:lang w:val="en-US"/>
        </w:rPr>
        <w:t>for</w:t>
      </w:r>
      <w:r w:rsidRPr="00FA1852">
        <w:rPr>
          <w:lang w:val="en-US"/>
        </w:rPr>
        <w:t xml:space="preserve"> correlations between causes. </w:t>
      </w:r>
      <w:r>
        <w:rPr>
          <w:lang w:val="en-US"/>
        </w:rPr>
        <w:t>Excess</w:t>
      </w:r>
      <w:r w:rsidRPr="00FA1852">
        <w:rPr>
          <w:lang w:val="en-US"/>
        </w:rPr>
        <w:t xml:space="preserve"> deaths were generated from the model’s posterior predictive distribution</w:t>
      </w:r>
      <w:r>
        <w:rPr>
          <w:lang w:val="en-US"/>
        </w:rPr>
        <w:t xml:space="preserve"> </w:t>
      </w:r>
      <w:r w:rsidRPr="00FA1852">
        <w:rPr>
          <w:lang w:val="en-US"/>
        </w:rPr>
        <w:t>as the difference between observed and expected deaths. During 2020–21, we used partial correlations to assess how weekly excess deaths from non-COVID causes were related to COVID-19 a</w:t>
      </w:r>
      <w:r>
        <w:rPr>
          <w:lang w:val="en-US"/>
        </w:rPr>
        <w:t>s well as</w:t>
      </w:r>
      <w:r w:rsidRPr="00FA1852">
        <w:rPr>
          <w:lang w:val="en-US"/>
        </w:rPr>
        <w:t xml:space="preserve"> other respiratory diseases, while adjusting for overlap between the two.</w:t>
      </w:r>
    </w:p>
    <w:p w14:paraId="257DF363" w14:textId="18467B78" w:rsidR="005535CE" w:rsidRDefault="007B5E10" w:rsidP="00FA1852">
      <w:pPr>
        <w:rPr>
          <w:lang w:val="en-US"/>
        </w:rPr>
      </w:pPr>
      <w:r>
        <w:rPr>
          <w:lang w:val="en-US"/>
        </w:rPr>
        <w:t>We explored cause-specific excess mortality by phase. Highest excess occurred for cardiovascular disease during alpha wave in Fall 2020, which is the largest covid-19 wave, with XX% and XX% increase for cardiovascular and mental/neurological disease</w:t>
      </w:r>
      <w:r w:rsidR="003B0C6A">
        <w:rPr>
          <w:lang w:val="en-US"/>
        </w:rPr>
        <w:t xml:space="preserve"> among 65-79 and 80+ population</w:t>
      </w:r>
      <w:r>
        <w:rPr>
          <w:lang w:val="en-US"/>
        </w:rPr>
        <w:t xml:space="preserve">, respectively. Despite this intermittent excess, there was no cumulative excess mortality over 2020-21 for any cause in these age groups. Some deficits were even observed for respiratory disease </w:t>
      </w:r>
      <w:r w:rsidR="003B0C6A">
        <w:rPr>
          <w:lang w:val="en-US"/>
        </w:rPr>
        <w:t xml:space="preserve">and mental/neurological disease (XX% and XX% among 80+, respectively). However, </w:t>
      </w:r>
      <w:r w:rsidR="003B0C6A" w:rsidRPr="00FA1852">
        <w:rPr>
          <w:lang w:val="en-US"/>
        </w:rPr>
        <w:t>cause-specific deficits were largely compensated by COVID-19,</w:t>
      </w:r>
      <w:r w:rsidR="003B0C6A">
        <w:rPr>
          <w:lang w:val="en-US"/>
        </w:rPr>
        <w:t xml:space="preserve"> </w:t>
      </w:r>
      <w:r w:rsidR="003B0C6A" w:rsidRPr="00FA1852">
        <w:rPr>
          <w:lang w:val="en-US"/>
        </w:rPr>
        <w:t>resulting in a net all-cause excess of +XX</w:t>
      </w:r>
      <w:r w:rsidR="003B0C6A" w:rsidRPr="00FA1852">
        <w:rPr>
          <w:rFonts w:ascii="Arial" w:hAnsi="Arial" w:cs="Arial"/>
          <w:lang w:val="en-US"/>
        </w:rPr>
        <w:t> </w:t>
      </w:r>
      <w:r w:rsidR="003B0C6A" w:rsidRPr="00FA1852">
        <w:rPr>
          <w:lang w:val="en-US"/>
        </w:rPr>
        <w:t>% in 2020</w:t>
      </w:r>
      <w:r w:rsidR="003B0C6A" w:rsidRPr="00FA1852">
        <w:rPr>
          <w:rFonts w:ascii="Aptos" w:hAnsi="Aptos" w:cs="Aptos"/>
          <w:lang w:val="en-US"/>
        </w:rPr>
        <w:t>–</w:t>
      </w:r>
      <w:r w:rsidR="003B0C6A" w:rsidRPr="00FA1852">
        <w:rPr>
          <w:lang w:val="en-US"/>
        </w:rPr>
        <w:t>21</w:t>
      </w:r>
      <w:r w:rsidR="003B0C6A">
        <w:rPr>
          <w:lang w:val="en-US"/>
        </w:rPr>
        <w:t xml:space="preserve"> for 80+</w:t>
      </w:r>
      <w:r w:rsidR="003B0C6A" w:rsidRPr="00FA1852">
        <w:rPr>
          <w:lang w:val="en-US"/>
        </w:rPr>
        <w:t>.</w:t>
      </w:r>
      <w:r w:rsidR="003B0C6A">
        <w:rPr>
          <w:lang w:val="en-US"/>
        </w:rPr>
        <w:t xml:space="preserve"> Finally, s</w:t>
      </w:r>
      <w:r w:rsidR="003B0C6A" w:rsidRPr="003B0C6A">
        <w:rPr>
          <w:lang w:val="en-US"/>
        </w:rPr>
        <w:t>trong correlations were inferred between respiratory, cardiovascular, and mental/neurological excess deaths in 2011–19, with similar associations observed in 2020–21 involving COVID-19 and non-COVID respiratory mortality.</w:t>
      </w:r>
    </w:p>
    <w:p w14:paraId="607FC845" w14:textId="580FE56E" w:rsidR="003B0C6A" w:rsidRDefault="003B0C6A" w:rsidP="00FA1852">
      <w:pPr>
        <w:rPr>
          <w:lang w:val="en-US"/>
        </w:rPr>
      </w:pPr>
      <w:r w:rsidRPr="003B0C6A">
        <w:rPr>
          <w:lang w:val="en-US"/>
        </w:rPr>
        <w:t>The observed correlations may reflect under-ascertainment of respiratory infections or mortality displacement among older adults. Bayesian joint modeling of cause-specific deaths enables detection of these patterns and is essential for interpreting future mortality shocks.</w:t>
      </w:r>
    </w:p>
    <w:p w14:paraId="54EB1B3D" w14:textId="77777777" w:rsidR="003B0C6A" w:rsidRDefault="003B0C6A" w:rsidP="00FA1852">
      <w:pPr>
        <w:rPr>
          <w:lang w:val="en-US"/>
        </w:rPr>
      </w:pPr>
    </w:p>
    <w:p w14:paraId="19177841" w14:textId="77777777" w:rsidR="003B0C6A" w:rsidRDefault="003B0C6A" w:rsidP="00FA1852">
      <w:pPr>
        <w:rPr>
          <w:lang w:val="en-US"/>
        </w:rPr>
      </w:pPr>
    </w:p>
    <w:p w14:paraId="578C574F" w14:textId="77777777" w:rsidR="003B0C6A" w:rsidRDefault="003B0C6A" w:rsidP="00FA1852">
      <w:pPr>
        <w:rPr>
          <w:lang w:val="en-US"/>
        </w:rPr>
      </w:pPr>
    </w:p>
    <w:p w14:paraId="61344CD4" w14:textId="77777777" w:rsidR="003B0C6A" w:rsidRDefault="003B0C6A" w:rsidP="00FA1852">
      <w:pPr>
        <w:rPr>
          <w:lang w:val="en-US"/>
        </w:rPr>
      </w:pPr>
    </w:p>
    <w:p w14:paraId="3C56117B" w14:textId="77777777" w:rsidR="003B0C6A" w:rsidRDefault="003B0C6A" w:rsidP="00FA1852">
      <w:pPr>
        <w:rPr>
          <w:lang w:val="en-US"/>
        </w:rPr>
      </w:pPr>
    </w:p>
    <w:p w14:paraId="32938FC2" w14:textId="77777777" w:rsidR="003B0C6A" w:rsidRDefault="003B0C6A" w:rsidP="00FA1852">
      <w:pPr>
        <w:rPr>
          <w:lang w:val="en-US"/>
        </w:rPr>
      </w:pPr>
    </w:p>
    <w:p w14:paraId="099EDA0B" w14:textId="77777777" w:rsidR="003B0C6A" w:rsidRDefault="003B0C6A" w:rsidP="00FA1852">
      <w:pPr>
        <w:rPr>
          <w:lang w:val="en-US"/>
        </w:rPr>
      </w:pPr>
    </w:p>
    <w:p w14:paraId="08E92D25" w14:textId="77777777" w:rsidR="003B0C6A" w:rsidRDefault="003B0C6A" w:rsidP="00FA1852">
      <w:pPr>
        <w:rPr>
          <w:lang w:val="en-US"/>
        </w:rPr>
      </w:pPr>
    </w:p>
    <w:p w14:paraId="5E604365" w14:textId="77777777" w:rsidR="003B0C6A" w:rsidRDefault="003B0C6A" w:rsidP="00FA1852">
      <w:pPr>
        <w:rPr>
          <w:lang w:val="en-US"/>
        </w:rPr>
      </w:pPr>
    </w:p>
    <w:p w14:paraId="465A3C13" w14:textId="77777777" w:rsidR="003B0C6A" w:rsidRDefault="003B0C6A" w:rsidP="00FA1852">
      <w:pPr>
        <w:rPr>
          <w:lang w:val="en-US"/>
        </w:rPr>
      </w:pPr>
    </w:p>
    <w:p w14:paraId="63CFCC4C" w14:textId="77777777" w:rsidR="003B0C6A" w:rsidRDefault="003B0C6A" w:rsidP="00FA1852">
      <w:pPr>
        <w:rPr>
          <w:lang w:val="en-US"/>
        </w:rPr>
      </w:pPr>
    </w:p>
    <w:p w14:paraId="58F61B8F" w14:textId="77777777" w:rsidR="00F62CE5" w:rsidRDefault="00F62CE5" w:rsidP="005561DC">
      <w:pPr>
        <w:rPr>
          <w:lang w:val="en-US"/>
        </w:rPr>
      </w:pPr>
      <w:r w:rsidRPr="00F62CE5">
        <w:rPr>
          <w:lang w:val="en-US"/>
        </w:rPr>
        <w:lastRenderedPageBreak/>
        <w:t>The COVID-19 crisis reshaped mortality patterns through both the direct effects of infection and a range of indirect influences. Reported COVID-19 deaths capture only part of the burden due to under-ascertainment, while control measures, infection sequelae, mortality displacement, and other factors may have altered deaths from other causes. Cause-specific data are therefore key to disentangling these effects. We quantified cause-specific excess mortality in Switzerland during 2020–21 and examined how excess deaths from different causes were related throughout the pandemic.</w:t>
      </w:r>
    </w:p>
    <w:p w14:paraId="59EAC2D0" w14:textId="0903176B" w:rsidR="00F62CE5" w:rsidRDefault="003B0C6A" w:rsidP="005561DC">
      <w:pPr>
        <w:rPr>
          <w:lang w:val="en-US"/>
        </w:rPr>
      </w:pPr>
      <w:r w:rsidRPr="003B0C6A">
        <w:rPr>
          <w:lang w:val="en-US"/>
        </w:rPr>
        <w:t>Weekly deaths for 2011–2021 were aggregated by age, sex, region</w:t>
      </w:r>
      <w:r w:rsidR="00F62CE5">
        <w:rPr>
          <w:lang w:val="en-US"/>
        </w:rPr>
        <w:t>,</w:t>
      </w:r>
      <w:r w:rsidRPr="003B0C6A">
        <w:rPr>
          <w:lang w:val="en-US"/>
        </w:rPr>
        <w:t xml:space="preserve"> and nine ICD-10 cause groups. For each age group we fitted a Bayesian multivariate Poisson model to 2011–2019 data</w:t>
      </w:r>
      <w:r w:rsidR="005561DC" w:rsidRPr="00F62CE5">
        <w:rPr>
          <w:lang w:val="en-US"/>
        </w:rPr>
        <w:t xml:space="preserve"> </w:t>
      </w:r>
      <w:r w:rsidR="005561DC" w:rsidRPr="00F62CE5">
        <w:rPr>
          <w:lang w:val="en-US"/>
        </w:rPr>
        <w:t xml:space="preserve">that included seasonality, long-term trends and a multivariate random effect capturing cross-cause dependence. </w:t>
      </w:r>
      <w:r w:rsidRPr="003B0C6A">
        <w:rPr>
          <w:lang w:val="en-US"/>
        </w:rPr>
        <w:t xml:space="preserve"> </w:t>
      </w:r>
      <w:r w:rsidRPr="00F62CE5">
        <w:rPr>
          <w:lang w:val="en-US"/>
        </w:rPr>
        <w:t>Excess</w:t>
      </w:r>
      <w:r w:rsidRPr="00FA1852">
        <w:rPr>
          <w:lang w:val="en-US"/>
        </w:rPr>
        <w:t xml:space="preserve"> deaths were generated from the model’s posterior predictive distribution</w:t>
      </w:r>
      <w:r w:rsidRPr="00F62CE5">
        <w:rPr>
          <w:lang w:val="en-US"/>
        </w:rPr>
        <w:t xml:space="preserve"> </w:t>
      </w:r>
      <w:r w:rsidRPr="00FA1852">
        <w:rPr>
          <w:lang w:val="en-US"/>
        </w:rPr>
        <w:t>as the difference between observed and expected deaths.</w:t>
      </w:r>
      <w:r w:rsidRPr="003B0C6A">
        <w:rPr>
          <w:lang w:val="en-US"/>
        </w:rPr>
        <w:t xml:space="preserve"> </w:t>
      </w:r>
      <w:r w:rsidR="00A9648B" w:rsidRPr="00F62CE5">
        <w:rPr>
          <w:lang w:val="en-US"/>
        </w:rPr>
        <w:t>For 2020–21</w:t>
      </w:r>
      <w:r w:rsidR="00F62CE5">
        <w:rPr>
          <w:lang w:val="en-US"/>
        </w:rPr>
        <w:t>,</w:t>
      </w:r>
      <w:r w:rsidR="00A9648B" w:rsidRPr="00F62CE5">
        <w:rPr>
          <w:lang w:val="en-US"/>
        </w:rPr>
        <w:t xml:space="preserve"> we used partial correlations to assess how weekly excess deaths from non-COVID causes related to COVID-19 and to other respiratory diseases, adjusting for overlap between the two.</w:t>
      </w:r>
    </w:p>
    <w:p w14:paraId="7D2F0591" w14:textId="474DC1CD" w:rsidR="00A9648B" w:rsidRPr="00F62CE5" w:rsidRDefault="005561DC" w:rsidP="005561DC">
      <w:pPr>
        <w:rPr>
          <w:lang w:val="en-US"/>
        </w:rPr>
      </w:pPr>
      <w:r w:rsidRPr="00F62CE5">
        <w:rPr>
          <w:lang w:val="en-US"/>
        </w:rPr>
        <w:t>The largest intermittent excess occurred during the autumn-2020 Alpha wave: cardiovascular deaths rose by XX % and mental/neurological deaths by XX % in ages 65–79 and ≥80, respectively. No cause showed sustained excess over the full 2020–21 period. Respiratory (–25 %) and mental/neurological (–12 %) deaths in those ≥80 even showed net deficits</w:t>
      </w:r>
      <w:r w:rsidRPr="00F62CE5">
        <w:rPr>
          <w:lang w:val="en-US"/>
        </w:rPr>
        <w:t>.</w:t>
      </w:r>
      <w:r w:rsidRPr="00F62CE5">
        <w:rPr>
          <w:lang w:val="en-US"/>
        </w:rPr>
        <w:t xml:space="preserve"> These were largely offset by COVID-19 deaths, resulting in a net all-cause excess of +XX</w:t>
      </w:r>
      <w:r w:rsidRPr="00F62CE5">
        <w:rPr>
          <w:rFonts w:ascii="Arial" w:hAnsi="Arial" w:cs="Arial"/>
          <w:lang w:val="en-US"/>
        </w:rPr>
        <w:t> </w:t>
      </w:r>
      <w:r w:rsidRPr="00F62CE5">
        <w:rPr>
          <w:lang w:val="en-US"/>
        </w:rPr>
        <w:t xml:space="preserve">% in the </w:t>
      </w:r>
      <w:r w:rsidRPr="00F62CE5">
        <w:rPr>
          <w:rFonts w:cs="Aptos"/>
          <w:lang w:val="en-US"/>
        </w:rPr>
        <w:t>≥</w:t>
      </w:r>
      <w:r w:rsidRPr="00F62CE5">
        <w:rPr>
          <w:lang w:val="en-US"/>
        </w:rPr>
        <w:t xml:space="preserve">80 population. Positive partial correlations appeared in 2020–21 between cardiovascular or mental/neurological excess mortality and both COVID-19 and non-COVID respiratory excess mortality. </w:t>
      </w:r>
      <w:r w:rsidR="00A9648B" w:rsidRPr="00F62CE5">
        <w:rPr>
          <w:lang w:val="en-US"/>
        </w:rPr>
        <w:t>Similarly, the model inferred strong correlations (</w:t>
      </w:r>
      <w:r w:rsidR="00A9648B" w:rsidRPr="00F62CE5">
        <w:rPr>
          <w:rFonts w:cs="Aptos"/>
        </w:rPr>
        <w:t>ρ</w:t>
      </w:r>
      <w:r w:rsidR="00A9648B" w:rsidRPr="00F62CE5">
        <w:rPr>
          <w:lang w:val="en-US"/>
        </w:rPr>
        <w:t xml:space="preserve"> &gt; 0.80) between respiratory, cardiovascular and mental/neurological excess deaths during the pre</w:t>
      </w:r>
      <w:r w:rsidR="00F62CE5">
        <w:rPr>
          <w:lang w:val="en-US"/>
        </w:rPr>
        <w:t>-</w:t>
      </w:r>
      <w:r w:rsidR="00A9648B" w:rsidRPr="00F62CE5">
        <w:rPr>
          <w:lang w:val="en-US"/>
        </w:rPr>
        <w:t>pandemic period (2011-</w:t>
      </w:r>
      <w:r w:rsidR="00F62CE5">
        <w:rPr>
          <w:lang w:val="en-US"/>
        </w:rPr>
        <w:t>20</w:t>
      </w:r>
      <w:r w:rsidR="00A9648B" w:rsidRPr="00F62CE5">
        <w:rPr>
          <w:lang w:val="en-US"/>
        </w:rPr>
        <w:t>19).</w:t>
      </w:r>
    </w:p>
    <w:p w14:paraId="54D1AB62" w14:textId="4D9C3877" w:rsidR="003B0C6A" w:rsidRDefault="005561DC" w:rsidP="005561DC">
      <w:pPr>
        <w:rPr>
          <w:lang w:val="en-US"/>
        </w:rPr>
      </w:pPr>
      <w:r w:rsidRPr="00F62CE5">
        <w:rPr>
          <w:lang w:val="en-US"/>
        </w:rPr>
        <w:t xml:space="preserve">Cause-specific data reveal how multiple mechanisms acted simultaneously: (1) reduced spread of non-COVID respiratory pathogens, (2) under-ascertained COVID-19 </w:t>
      </w:r>
      <w:r w:rsidRPr="00F62CE5">
        <w:rPr>
          <w:lang w:val="en-US"/>
        </w:rPr>
        <w:t>deaths</w:t>
      </w:r>
      <w:r w:rsidRPr="00F62CE5">
        <w:rPr>
          <w:lang w:val="en-US"/>
        </w:rPr>
        <w:t>, particularly misclassified as cardiovascular deaths, and (3) mortality displacement affecting mental and neurological causes. Persistent cross-cause correlations—before and during the pandemic—indicate that the burden of respiratory infections is likely underestimated</w:t>
      </w:r>
      <w:r w:rsidRPr="00F62CE5">
        <w:rPr>
          <w:lang w:val="en-US"/>
        </w:rPr>
        <w:t>.</w:t>
      </w:r>
    </w:p>
    <w:p w14:paraId="53E8E452" w14:textId="77777777" w:rsidR="00F62CE5" w:rsidRDefault="00F62CE5" w:rsidP="005561DC">
      <w:pPr>
        <w:rPr>
          <w:lang w:val="en-US"/>
        </w:rPr>
      </w:pPr>
    </w:p>
    <w:p w14:paraId="1D70E41C" w14:textId="77777777" w:rsidR="00F62CE5" w:rsidRDefault="00F62CE5" w:rsidP="005561DC">
      <w:pPr>
        <w:rPr>
          <w:lang w:val="en-US"/>
        </w:rPr>
      </w:pPr>
    </w:p>
    <w:p w14:paraId="3E938A33" w14:textId="77777777" w:rsidR="00B44F2C" w:rsidRDefault="00B44F2C">
      <w:pPr>
        <w:rPr>
          <w:lang w:val="en-US"/>
        </w:rPr>
      </w:pPr>
      <w:r>
        <w:rPr>
          <w:lang w:val="en-US"/>
        </w:rPr>
        <w:br w:type="page"/>
      </w:r>
    </w:p>
    <w:p w14:paraId="7A788515" w14:textId="1693C905" w:rsidR="00F62CE5" w:rsidRPr="00F62CE5" w:rsidRDefault="00F62CE5" w:rsidP="00F62CE5">
      <w:pPr>
        <w:rPr>
          <w:lang w:val="en-US"/>
        </w:rPr>
      </w:pPr>
      <w:r w:rsidRPr="00F62CE5">
        <w:rPr>
          <w:lang w:val="en-US"/>
        </w:rPr>
        <w:lastRenderedPageBreak/>
        <w:t>The COVID-19 crisis reshaped mortality patterns through both the direct effects of infection and a range of indirect influences. Reported COVID-19 deaths capture only part of the burden due to under-ascertainment, while control measures, infection sequelae, mortality displacement, and other factors may have altered deaths from other causes. Cause-specific data are therefore key to disentangling these effects. We quantified cause-specific excess mortality in Switzerland during 2020–21 and examined how excess deaths from different causes were related throughout the pandemic.</w:t>
      </w:r>
    </w:p>
    <w:p w14:paraId="7C96679E" w14:textId="77777777" w:rsidR="00F62CE5" w:rsidRPr="00F62CE5" w:rsidRDefault="00F62CE5" w:rsidP="00F62CE5">
      <w:pPr>
        <w:rPr>
          <w:lang w:val="en-US"/>
        </w:rPr>
      </w:pPr>
      <w:r w:rsidRPr="00F62CE5">
        <w:rPr>
          <w:lang w:val="en-US"/>
        </w:rPr>
        <w:t>Weekly deaths for 2011–2021 were aggregated by age, sex, region, and nine ICD-10 cause groups. For each age group, we fitted a Bayesian multivariate Poisson model to 2011–2019 data that included seasonality, long-term trends, and a multivariate random effect capturing cross-cause dependence. Excess deaths were generated from the model’s posterior predictive distribution as the difference between observed and expected deaths. For 2020–21, we used partial correlations to assess how weekly excess deaths from non-COVID causes related to COVID-19 and to other respiratory diseases, adjusting for overlap between the two.</w:t>
      </w:r>
    </w:p>
    <w:p w14:paraId="3112154E" w14:textId="31587B40" w:rsidR="00F62CE5" w:rsidRPr="00F62CE5" w:rsidRDefault="00F62CE5" w:rsidP="00F62CE5">
      <w:pPr>
        <w:rPr>
          <w:lang w:val="en-US"/>
        </w:rPr>
      </w:pPr>
      <w:r w:rsidRPr="00F62CE5">
        <w:rPr>
          <w:lang w:val="en-US"/>
        </w:rPr>
        <w:t xml:space="preserve">The largest intermittent excess occurred during the autumn 2020 Alpha wave: cardiovascular deaths rose by </w:t>
      </w:r>
      <w:r w:rsidR="0039095A">
        <w:rPr>
          <w:lang w:val="en-US"/>
        </w:rPr>
        <w:t>14</w:t>
      </w:r>
      <w:r w:rsidRPr="00F62CE5">
        <w:rPr>
          <w:rFonts w:ascii="Arial" w:hAnsi="Arial" w:cs="Arial"/>
          <w:lang w:val="en-US"/>
        </w:rPr>
        <w:t> </w:t>
      </w:r>
      <w:r w:rsidRPr="00F62CE5">
        <w:rPr>
          <w:lang w:val="en-US"/>
        </w:rPr>
        <w:t xml:space="preserve">% </w:t>
      </w:r>
      <w:r w:rsidR="0039095A">
        <w:rPr>
          <w:lang w:val="en-US"/>
        </w:rPr>
        <w:t>and</w:t>
      </w:r>
      <w:r w:rsidRPr="00F62CE5">
        <w:rPr>
          <w:lang w:val="en-US"/>
        </w:rPr>
        <w:t xml:space="preserve"> </w:t>
      </w:r>
      <w:r w:rsidR="0039095A">
        <w:rPr>
          <w:lang w:val="en-US"/>
        </w:rPr>
        <w:t>11</w:t>
      </w:r>
      <w:r w:rsidRPr="00F62CE5">
        <w:rPr>
          <w:rFonts w:ascii="Arial" w:hAnsi="Arial" w:cs="Arial"/>
          <w:lang w:val="en-US"/>
        </w:rPr>
        <w:t> </w:t>
      </w:r>
      <w:r w:rsidRPr="00F62CE5">
        <w:rPr>
          <w:lang w:val="en-US"/>
        </w:rPr>
        <w:t>% in ages 65</w:t>
      </w:r>
      <w:r w:rsidRPr="00F62CE5">
        <w:rPr>
          <w:rFonts w:ascii="Aptos" w:hAnsi="Aptos" w:cs="Aptos"/>
          <w:lang w:val="en-US"/>
        </w:rPr>
        <w:t>–</w:t>
      </w:r>
      <w:r w:rsidRPr="00F62CE5">
        <w:rPr>
          <w:lang w:val="en-US"/>
        </w:rPr>
        <w:t xml:space="preserve">79 and </w:t>
      </w:r>
      <w:r w:rsidRPr="00F62CE5">
        <w:rPr>
          <w:rFonts w:ascii="Aptos" w:hAnsi="Aptos" w:cs="Aptos"/>
          <w:lang w:val="en-US"/>
        </w:rPr>
        <w:t>≥</w:t>
      </w:r>
      <w:r w:rsidRPr="00F62CE5">
        <w:rPr>
          <w:lang w:val="en-US"/>
        </w:rPr>
        <w:t>80, respectively. No cause showed sustained excess over the full 2020</w:t>
      </w:r>
      <w:r w:rsidRPr="00F62CE5">
        <w:rPr>
          <w:rFonts w:ascii="Aptos" w:hAnsi="Aptos" w:cs="Aptos"/>
          <w:lang w:val="en-US"/>
        </w:rPr>
        <w:t>–</w:t>
      </w:r>
      <w:r w:rsidRPr="00F62CE5">
        <w:rPr>
          <w:lang w:val="en-US"/>
        </w:rPr>
        <w:t>21 period. Respiratory (</w:t>
      </w:r>
      <w:r w:rsidRPr="00F62CE5">
        <w:rPr>
          <w:rFonts w:ascii="Aptos" w:hAnsi="Aptos" w:cs="Aptos"/>
          <w:lang w:val="en-US"/>
        </w:rPr>
        <w:t>–</w:t>
      </w:r>
      <w:r w:rsidRPr="00F62CE5">
        <w:rPr>
          <w:lang w:val="en-US"/>
        </w:rPr>
        <w:t>25</w:t>
      </w:r>
      <w:r w:rsidRPr="00F62CE5">
        <w:rPr>
          <w:rFonts w:ascii="Arial" w:hAnsi="Arial" w:cs="Arial"/>
          <w:lang w:val="en-US"/>
        </w:rPr>
        <w:t> </w:t>
      </w:r>
      <w:r w:rsidRPr="00F62CE5">
        <w:rPr>
          <w:lang w:val="en-US"/>
        </w:rPr>
        <w:t>%) and mental/neurological (</w:t>
      </w:r>
      <w:r w:rsidRPr="00F62CE5">
        <w:rPr>
          <w:rFonts w:ascii="Aptos" w:hAnsi="Aptos" w:cs="Aptos"/>
          <w:lang w:val="en-US"/>
        </w:rPr>
        <w:t>–</w:t>
      </w:r>
      <w:r w:rsidRPr="00F62CE5">
        <w:rPr>
          <w:lang w:val="en-US"/>
        </w:rPr>
        <w:t>12</w:t>
      </w:r>
      <w:r w:rsidRPr="00F62CE5">
        <w:rPr>
          <w:rFonts w:ascii="Arial" w:hAnsi="Arial" w:cs="Arial"/>
          <w:lang w:val="en-US"/>
        </w:rPr>
        <w:t> </w:t>
      </w:r>
      <w:r w:rsidRPr="00F62CE5">
        <w:rPr>
          <w:lang w:val="en-US"/>
        </w:rPr>
        <w:t xml:space="preserve">%) deaths in those </w:t>
      </w:r>
      <w:r w:rsidRPr="00F62CE5">
        <w:rPr>
          <w:rFonts w:ascii="Aptos" w:hAnsi="Aptos" w:cs="Aptos"/>
          <w:lang w:val="en-US"/>
        </w:rPr>
        <w:t>≥</w:t>
      </w:r>
      <w:r w:rsidRPr="00F62CE5">
        <w:rPr>
          <w:lang w:val="en-US"/>
        </w:rPr>
        <w:t>80 even showed net deficits. These were largely offset by COVID-19 deaths, resulting in a net all-cause excess of +</w:t>
      </w:r>
      <w:r w:rsidR="0039095A">
        <w:rPr>
          <w:lang w:val="en-US"/>
        </w:rPr>
        <w:t>4.5</w:t>
      </w:r>
      <w:r w:rsidRPr="00F62CE5">
        <w:rPr>
          <w:rFonts w:ascii="Arial" w:hAnsi="Arial" w:cs="Arial"/>
          <w:lang w:val="en-US"/>
        </w:rPr>
        <w:t> </w:t>
      </w:r>
      <w:r w:rsidRPr="00F62CE5">
        <w:rPr>
          <w:lang w:val="en-US"/>
        </w:rPr>
        <w:t xml:space="preserve">% in the </w:t>
      </w:r>
      <w:r w:rsidRPr="00F62CE5">
        <w:rPr>
          <w:rFonts w:ascii="Aptos" w:hAnsi="Aptos" w:cs="Aptos"/>
          <w:lang w:val="en-US"/>
        </w:rPr>
        <w:t>≥</w:t>
      </w:r>
      <w:r w:rsidRPr="00F62CE5">
        <w:rPr>
          <w:lang w:val="en-US"/>
        </w:rPr>
        <w:t>80 population. Positive partial correlations appeared in 2020</w:t>
      </w:r>
      <w:r w:rsidRPr="00F62CE5">
        <w:rPr>
          <w:rFonts w:ascii="Aptos" w:hAnsi="Aptos" w:cs="Aptos"/>
          <w:lang w:val="en-US"/>
        </w:rPr>
        <w:t>–</w:t>
      </w:r>
      <w:r w:rsidRPr="00F62CE5">
        <w:rPr>
          <w:lang w:val="en-US"/>
        </w:rPr>
        <w:t>21 between cardiovascular or mental/neurological excess mortality and both COVID-19 and non-COVID respiratory excess mortality. Similarly, the model inferred strong correlations (</w:t>
      </w:r>
      <w:r w:rsidRPr="00F62CE5">
        <w:t>ρ</w:t>
      </w:r>
      <w:r w:rsidRPr="00F62CE5">
        <w:rPr>
          <w:rFonts w:ascii="Arial" w:hAnsi="Arial" w:cs="Arial"/>
          <w:lang w:val="en-US"/>
        </w:rPr>
        <w:t> </w:t>
      </w:r>
      <w:r w:rsidRPr="00F62CE5">
        <w:rPr>
          <w:lang w:val="en-US"/>
        </w:rPr>
        <w:t>&gt;</w:t>
      </w:r>
      <w:r w:rsidRPr="00F62CE5">
        <w:rPr>
          <w:rFonts w:ascii="Arial" w:hAnsi="Arial" w:cs="Arial"/>
          <w:lang w:val="en-US"/>
        </w:rPr>
        <w:t> </w:t>
      </w:r>
      <w:r w:rsidRPr="00F62CE5">
        <w:rPr>
          <w:lang w:val="en-US"/>
        </w:rPr>
        <w:t>0.80) between respiratory, cardiovascular, and mental/neurological excess deaths during the pre-pandemic period (2011</w:t>
      </w:r>
      <w:r w:rsidRPr="00F62CE5">
        <w:rPr>
          <w:rFonts w:ascii="Aptos" w:hAnsi="Aptos" w:cs="Aptos"/>
          <w:lang w:val="en-US"/>
        </w:rPr>
        <w:t>–</w:t>
      </w:r>
      <w:r w:rsidRPr="00F62CE5">
        <w:rPr>
          <w:lang w:val="en-US"/>
        </w:rPr>
        <w:t>2019).</w:t>
      </w:r>
    </w:p>
    <w:p w14:paraId="1DC82363" w14:textId="77777777" w:rsidR="00F62CE5" w:rsidRPr="00F62CE5" w:rsidRDefault="00F62CE5" w:rsidP="00F62CE5">
      <w:pPr>
        <w:rPr>
          <w:lang w:val="en-US"/>
        </w:rPr>
      </w:pPr>
      <w:r w:rsidRPr="00F62CE5">
        <w:rPr>
          <w:lang w:val="en-US"/>
        </w:rPr>
        <w:t>Cause-specific data reveal how multiple mechanisms acted simultaneously: (1) reduced spread of non-COVID respiratory pathogens, (2) under-ascertained COVID-19 deaths, particularly misclassified as cardiovascular deaths, and (3) mortality displacement affecting mental and neurological causes. Persistent cross-cause correlations—before and during the pandemic—indicate that the burden of respiratory infections is likely underestimated.</w:t>
      </w:r>
    </w:p>
    <w:p w14:paraId="06EFC7F1" w14:textId="77777777" w:rsidR="00F62CE5" w:rsidRPr="00F62CE5" w:rsidRDefault="00F62CE5" w:rsidP="005561DC">
      <w:pPr>
        <w:rPr>
          <w:lang w:val="en-US"/>
        </w:rPr>
      </w:pPr>
    </w:p>
    <w:p w14:paraId="15E0C253" w14:textId="77777777" w:rsidR="00A9648B" w:rsidRDefault="00A9648B" w:rsidP="005561DC">
      <w:pPr>
        <w:rPr>
          <w:lang w:val="en-US"/>
        </w:rPr>
      </w:pPr>
    </w:p>
    <w:p w14:paraId="08FFDD1B" w14:textId="77777777" w:rsidR="00A9648B" w:rsidRDefault="00A9648B" w:rsidP="005561DC">
      <w:pPr>
        <w:rPr>
          <w:lang w:val="en-US"/>
        </w:rPr>
      </w:pPr>
    </w:p>
    <w:p w14:paraId="444764B4" w14:textId="77777777" w:rsidR="00A9648B" w:rsidRDefault="00A9648B" w:rsidP="005561DC">
      <w:pPr>
        <w:rPr>
          <w:lang w:val="en-US"/>
        </w:rPr>
      </w:pPr>
    </w:p>
    <w:p w14:paraId="4ECF3375" w14:textId="77777777" w:rsidR="00A9648B" w:rsidRDefault="00A9648B" w:rsidP="005561DC">
      <w:pPr>
        <w:rPr>
          <w:lang w:val="en-US"/>
        </w:rPr>
      </w:pPr>
    </w:p>
    <w:p w14:paraId="609DBFC5" w14:textId="77777777" w:rsidR="00A9648B" w:rsidRDefault="00A9648B" w:rsidP="005561DC">
      <w:pPr>
        <w:rPr>
          <w:lang w:val="en-US"/>
        </w:rPr>
      </w:pPr>
    </w:p>
    <w:p w14:paraId="161CE598" w14:textId="77777777" w:rsidR="00A9648B" w:rsidRDefault="00A9648B" w:rsidP="005561DC">
      <w:pPr>
        <w:rPr>
          <w:lang w:val="en-US"/>
        </w:rPr>
      </w:pPr>
    </w:p>
    <w:p w14:paraId="4A5A4124" w14:textId="77777777" w:rsidR="00A9648B" w:rsidRDefault="00A9648B" w:rsidP="005561DC">
      <w:pPr>
        <w:rPr>
          <w:lang w:val="en-US"/>
        </w:rPr>
      </w:pPr>
    </w:p>
    <w:p w14:paraId="2B25F248" w14:textId="77777777" w:rsidR="00A9648B" w:rsidRDefault="00A9648B" w:rsidP="005561DC">
      <w:pPr>
        <w:rPr>
          <w:lang w:val="en-US"/>
        </w:rPr>
      </w:pPr>
    </w:p>
    <w:p w14:paraId="65429A65" w14:textId="77777777" w:rsidR="00A9648B" w:rsidRDefault="00A9648B" w:rsidP="005561DC">
      <w:pPr>
        <w:rPr>
          <w:lang w:val="en-US"/>
        </w:rPr>
      </w:pPr>
    </w:p>
    <w:p w14:paraId="3373723F" w14:textId="77777777" w:rsidR="00A9648B" w:rsidRDefault="00A9648B" w:rsidP="005561DC">
      <w:pPr>
        <w:rPr>
          <w:lang w:val="en-US"/>
        </w:rPr>
      </w:pPr>
    </w:p>
    <w:p w14:paraId="6CD5FA3A" w14:textId="77777777" w:rsidR="00A9648B" w:rsidRDefault="00A9648B" w:rsidP="005561DC">
      <w:pPr>
        <w:rPr>
          <w:lang w:val="en-US"/>
        </w:rPr>
      </w:pPr>
    </w:p>
    <w:p w14:paraId="2BBC0E07" w14:textId="77777777" w:rsidR="00A9648B" w:rsidRDefault="00A9648B" w:rsidP="005561DC">
      <w:pPr>
        <w:rPr>
          <w:lang w:val="en-US"/>
        </w:rPr>
      </w:pPr>
    </w:p>
    <w:p w14:paraId="732CC6FE" w14:textId="77777777" w:rsidR="00A9648B" w:rsidRDefault="00A9648B" w:rsidP="005561DC">
      <w:pPr>
        <w:rPr>
          <w:lang w:val="en-US"/>
        </w:rPr>
      </w:pPr>
      <w:r w:rsidRPr="00A9648B">
        <w:rPr>
          <w:lang w:val="en-US"/>
        </w:rPr>
        <w:t>The COVID-19 crisis reshaped mortality through intertwined direct and indirect pathways. Reported COVID-19 deaths capture only part of the burden because of under-ascertainment, while control measures, infection sequelae, mortality displacement, among other factors, may have altered deaths from other causes. Cause-specific data are therefore indispensable. We quantified cause-specific excess mortality in Switzerland in 2020–21 and examined how excess deaths from different causes were related during the pandemic.</w:t>
      </w:r>
    </w:p>
    <w:p w14:paraId="7E2BC0F5" w14:textId="77777777" w:rsidR="00A9648B" w:rsidRDefault="00A9648B" w:rsidP="005561DC">
      <w:pPr>
        <w:rPr>
          <w:lang w:val="en-US"/>
        </w:rPr>
      </w:pPr>
      <w:r w:rsidRPr="00A9648B">
        <w:rPr>
          <w:lang w:val="en-US"/>
        </w:rPr>
        <w:t>Weekly deaths for 2011–2021 were aggregated by age, sex, region and nine ICD-10 cause groups. For each age group we fitted a Bayesian multivariate Poisson model to 2011–2019 data, with Gaussian-process terms for seasonality and long-term trend and a multivariate random effect for correlations between causes. Excess deaths were generated from the model’s posterior predictive distribution as the difference between observed and expected deaths. For 2020–21 we used partial correlations to assess how weekly excess deaths from non-COVID causes related to COVID-19 and to other respiratory diseases, adjusting for overlap between the two.</w:t>
      </w:r>
    </w:p>
    <w:p w14:paraId="35AEE797" w14:textId="77777777" w:rsidR="00A9648B" w:rsidRDefault="00A9648B" w:rsidP="005561DC">
      <w:pPr>
        <w:rPr>
          <w:lang w:val="en-US"/>
        </w:rPr>
      </w:pPr>
      <w:r w:rsidRPr="00A9648B">
        <w:rPr>
          <w:lang w:val="en-US"/>
        </w:rPr>
        <w:t>Phase-specific analyses showed the largest intermittent excess during the autumn 2020 Alpha wave: cardiovascular deaths rose by XX</w:t>
      </w:r>
      <w:r w:rsidRPr="00A9648B">
        <w:rPr>
          <w:rFonts w:ascii="Arial" w:hAnsi="Arial" w:cs="Arial"/>
          <w:lang w:val="en-US"/>
        </w:rPr>
        <w:t> </w:t>
      </w:r>
      <w:r w:rsidRPr="00A9648B">
        <w:rPr>
          <w:lang w:val="en-US"/>
        </w:rPr>
        <w:t>% and mental/neurological deaths by XX</w:t>
      </w:r>
      <w:r w:rsidRPr="00A9648B">
        <w:rPr>
          <w:rFonts w:ascii="Arial" w:hAnsi="Arial" w:cs="Arial"/>
          <w:lang w:val="en-US"/>
        </w:rPr>
        <w:t> </w:t>
      </w:r>
      <w:r w:rsidRPr="00A9648B">
        <w:rPr>
          <w:lang w:val="en-US"/>
        </w:rPr>
        <w:t>% in ages 65</w:t>
      </w:r>
      <w:r w:rsidRPr="00A9648B">
        <w:rPr>
          <w:rFonts w:ascii="Aptos" w:hAnsi="Aptos" w:cs="Aptos"/>
          <w:lang w:val="en-US"/>
        </w:rPr>
        <w:t>–</w:t>
      </w:r>
      <w:r w:rsidRPr="00A9648B">
        <w:rPr>
          <w:lang w:val="en-US"/>
        </w:rPr>
        <w:t xml:space="preserve">79 and </w:t>
      </w:r>
      <w:r w:rsidRPr="00A9648B">
        <w:rPr>
          <w:rFonts w:ascii="Aptos" w:hAnsi="Aptos" w:cs="Aptos"/>
          <w:lang w:val="en-US"/>
        </w:rPr>
        <w:t>≥</w:t>
      </w:r>
      <w:r w:rsidRPr="00A9648B">
        <w:rPr>
          <w:lang w:val="en-US"/>
        </w:rPr>
        <w:t>80, respectively. However, none of the causes showed sustained excess mortality over the full 2020</w:t>
      </w:r>
      <w:r w:rsidRPr="00A9648B">
        <w:rPr>
          <w:rFonts w:ascii="Aptos" w:hAnsi="Aptos" w:cs="Aptos"/>
          <w:lang w:val="en-US"/>
        </w:rPr>
        <w:t>–</w:t>
      </w:r>
      <w:r w:rsidRPr="00A9648B">
        <w:rPr>
          <w:lang w:val="en-US"/>
        </w:rPr>
        <w:t>21 period. In fact, some causes, such as respiratory (</w:t>
      </w:r>
      <w:r w:rsidRPr="00A9648B">
        <w:rPr>
          <w:rFonts w:ascii="Aptos" w:hAnsi="Aptos" w:cs="Aptos"/>
          <w:lang w:val="en-US"/>
        </w:rPr>
        <w:t>–</w:t>
      </w:r>
      <w:r w:rsidRPr="00A9648B">
        <w:rPr>
          <w:lang w:val="en-US"/>
        </w:rPr>
        <w:t>25</w:t>
      </w:r>
      <w:r w:rsidRPr="00A9648B">
        <w:rPr>
          <w:rFonts w:ascii="Arial" w:hAnsi="Arial" w:cs="Arial"/>
          <w:lang w:val="en-US"/>
        </w:rPr>
        <w:t> </w:t>
      </w:r>
      <w:r w:rsidRPr="00A9648B">
        <w:rPr>
          <w:lang w:val="en-US"/>
        </w:rPr>
        <w:t>%) and mental/neurological (</w:t>
      </w:r>
      <w:r w:rsidRPr="00A9648B">
        <w:rPr>
          <w:rFonts w:ascii="Aptos" w:hAnsi="Aptos" w:cs="Aptos"/>
          <w:lang w:val="en-US"/>
        </w:rPr>
        <w:t>–</w:t>
      </w:r>
      <w:r w:rsidRPr="00A9648B">
        <w:rPr>
          <w:lang w:val="en-US"/>
        </w:rPr>
        <w:t>12</w:t>
      </w:r>
      <w:r w:rsidRPr="00A9648B">
        <w:rPr>
          <w:rFonts w:ascii="Arial" w:hAnsi="Arial" w:cs="Arial"/>
          <w:lang w:val="en-US"/>
        </w:rPr>
        <w:t> </w:t>
      </w:r>
      <w:r w:rsidRPr="00A9648B">
        <w:rPr>
          <w:lang w:val="en-US"/>
        </w:rPr>
        <w:t>%) deaths among those aged ≥80, showed net mortality deficits over the two years. These were largely offset by COVID-19 deaths, resulting in a net all-cause excess of +XX</w:t>
      </w:r>
      <w:r w:rsidRPr="00A9648B">
        <w:rPr>
          <w:rFonts w:ascii="Arial" w:hAnsi="Arial" w:cs="Arial"/>
          <w:lang w:val="en-US"/>
        </w:rPr>
        <w:t> </w:t>
      </w:r>
      <w:r w:rsidRPr="00A9648B">
        <w:rPr>
          <w:lang w:val="en-US"/>
        </w:rPr>
        <w:t xml:space="preserve">% in the </w:t>
      </w:r>
      <w:r w:rsidRPr="00A9648B">
        <w:rPr>
          <w:rFonts w:ascii="Aptos" w:hAnsi="Aptos" w:cs="Aptos"/>
          <w:lang w:val="en-US"/>
        </w:rPr>
        <w:t>≥</w:t>
      </w:r>
      <w:r w:rsidRPr="00A9648B">
        <w:rPr>
          <w:lang w:val="en-US"/>
        </w:rPr>
        <w:t>80 population. Finally, we observed positive partial correlations in 2020</w:t>
      </w:r>
      <w:r w:rsidRPr="00A9648B">
        <w:rPr>
          <w:rFonts w:ascii="Aptos" w:hAnsi="Aptos" w:cs="Aptos"/>
          <w:lang w:val="en-US"/>
        </w:rPr>
        <w:t>–</w:t>
      </w:r>
      <w:r w:rsidRPr="00A9648B">
        <w:rPr>
          <w:lang w:val="en-US"/>
        </w:rPr>
        <w:t>21 between cardiovascular or mental/neurological excess and both COVID-19 and non-COVID respiratory excess mortality. Similarly, the model inferred strong correlations (</w:t>
      </w:r>
      <w:r w:rsidRPr="00A9648B">
        <w:rPr>
          <w:rFonts w:ascii="Aptos" w:hAnsi="Aptos" w:cs="Aptos"/>
        </w:rPr>
        <w:t>ρ</w:t>
      </w:r>
      <w:r w:rsidRPr="00A9648B">
        <w:rPr>
          <w:lang w:val="en-US"/>
        </w:rPr>
        <w:t xml:space="preserve"> &gt; 0.80) between respiratory, cardiovascular and mental/neurological excess deaths during the </w:t>
      </w:r>
      <w:proofErr w:type="spellStart"/>
      <w:r w:rsidRPr="00A9648B">
        <w:rPr>
          <w:lang w:val="en-US"/>
        </w:rPr>
        <w:t>prepandemic</w:t>
      </w:r>
      <w:proofErr w:type="spellEnd"/>
      <w:r w:rsidRPr="00A9648B">
        <w:rPr>
          <w:lang w:val="en-US"/>
        </w:rPr>
        <w:t xml:space="preserve"> period (2011-19).</w:t>
      </w:r>
    </w:p>
    <w:p w14:paraId="1AF353B0" w14:textId="7AB2BAA3" w:rsidR="00A9648B" w:rsidRPr="003B0C6A" w:rsidRDefault="00A9648B" w:rsidP="005561DC">
      <w:pPr>
        <w:rPr>
          <w:lang w:val="en-US"/>
        </w:rPr>
      </w:pPr>
      <w:r w:rsidRPr="00A9648B">
        <w:rPr>
          <w:lang w:val="en-US"/>
        </w:rPr>
        <w:t xml:space="preserve">Cause-specific mortality data provide essential insights into how the COVID-19 crisis disrupted mortality patterns across age groups and causes. Multiple mechanisms likely contributed to these shifts: (1) reduced transmission of respiratory pathogens due to public health measures, (2) under-ascertainment of COVID-19 deaths, particularly among those attributed to cardiovascular causes, and (3) mortality displacement, especially in deaths from mental and neurological disorders. The strong correlation between respiratory diseases and mortality from other causes—observed both before and during the pandemic—suggests that the full burden of respiratory infections may be underestimated. </w:t>
      </w:r>
      <w:r w:rsidRPr="00A9648B">
        <w:t xml:space="preserve">This warrants </w:t>
      </w:r>
      <w:proofErr w:type="spellStart"/>
      <w:r w:rsidRPr="00A9648B">
        <w:t>further</w:t>
      </w:r>
      <w:proofErr w:type="spellEnd"/>
      <w:r w:rsidRPr="00A9648B">
        <w:t xml:space="preserve"> investigation.</w:t>
      </w:r>
    </w:p>
    <w:p w14:paraId="09ABCC35" w14:textId="77777777" w:rsidR="003B0C6A" w:rsidRPr="003B0C6A" w:rsidRDefault="003B0C6A" w:rsidP="00FA1852">
      <w:pPr>
        <w:rPr>
          <w:lang w:val="en-US"/>
        </w:rPr>
      </w:pPr>
    </w:p>
    <w:sectPr w:rsidR="003B0C6A" w:rsidRPr="003B0C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6D"/>
    <w:rsid w:val="00120551"/>
    <w:rsid w:val="00125D6D"/>
    <w:rsid w:val="0019211F"/>
    <w:rsid w:val="001D6D63"/>
    <w:rsid w:val="00236F78"/>
    <w:rsid w:val="0039095A"/>
    <w:rsid w:val="003B0C6A"/>
    <w:rsid w:val="005535CE"/>
    <w:rsid w:val="005561DC"/>
    <w:rsid w:val="007B5E10"/>
    <w:rsid w:val="00842243"/>
    <w:rsid w:val="008F5173"/>
    <w:rsid w:val="009F6FB4"/>
    <w:rsid w:val="00A9648B"/>
    <w:rsid w:val="00B44F2C"/>
    <w:rsid w:val="00BE08DD"/>
    <w:rsid w:val="00C7156A"/>
    <w:rsid w:val="00F62CE5"/>
    <w:rsid w:val="00FA1852"/>
    <w:rsid w:val="00FA418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AAC2"/>
  <w15:chartTrackingRefBased/>
  <w15:docId w15:val="{EA24ACC0-81B7-4C0E-8D19-EF90661D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D6D"/>
    <w:rPr>
      <w:rFonts w:eastAsiaTheme="majorEastAsia" w:cstheme="majorBidi"/>
      <w:color w:val="272727" w:themeColor="text1" w:themeTint="D8"/>
    </w:rPr>
  </w:style>
  <w:style w:type="paragraph" w:styleId="Title">
    <w:name w:val="Title"/>
    <w:basedOn w:val="Normal"/>
    <w:next w:val="Normal"/>
    <w:link w:val="TitleChar"/>
    <w:uiPriority w:val="10"/>
    <w:qFormat/>
    <w:rsid w:val="00125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D6D"/>
    <w:pPr>
      <w:spacing w:before="160"/>
      <w:jc w:val="center"/>
    </w:pPr>
    <w:rPr>
      <w:i/>
      <w:iCs/>
      <w:color w:val="404040" w:themeColor="text1" w:themeTint="BF"/>
    </w:rPr>
  </w:style>
  <w:style w:type="character" w:customStyle="1" w:styleId="QuoteChar">
    <w:name w:val="Quote Char"/>
    <w:basedOn w:val="DefaultParagraphFont"/>
    <w:link w:val="Quote"/>
    <w:uiPriority w:val="29"/>
    <w:rsid w:val="00125D6D"/>
    <w:rPr>
      <w:i/>
      <w:iCs/>
      <w:color w:val="404040" w:themeColor="text1" w:themeTint="BF"/>
    </w:rPr>
  </w:style>
  <w:style w:type="paragraph" w:styleId="ListParagraph">
    <w:name w:val="List Paragraph"/>
    <w:basedOn w:val="Normal"/>
    <w:uiPriority w:val="34"/>
    <w:qFormat/>
    <w:rsid w:val="00125D6D"/>
    <w:pPr>
      <w:ind w:left="720"/>
      <w:contextualSpacing/>
    </w:pPr>
  </w:style>
  <w:style w:type="character" w:styleId="IntenseEmphasis">
    <w:name w:val="Intense Emphasis"/>
    <w:basedOn w:val="DefaultParagraphFont"/>
    <w:uiPriority w:val="21"/>
    <w:qFormat/>
    <w:rsid w:val="00125D6D"/>
    <w:rPr>
      <w:i/>
      <w:iCs/>
      <w:color w:val="0F4761" w:themeColor="accent1" w:themeShade="BF"/>
    </w:rPr>
  </w:style>
  <w:style w:type="paragraph" w:styleId="IntenseQuote">
    <w:name w:val="Intense Quote"/>
    <w:basedOn w:val="Normal"/>
    <w:next w:val="Normal"/>
    <w:link w:val="IntenseQuoteChar"/>
    <w:uiPriority w:val="30"/>
    <w:qFormat/>
    <w:rsid w:val="0012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D6D"/>
    <w:rPr>
      <w:i/>
      <w:iCs/>
      <w:color w:val="0F4761" w:themeColor="accent1" w:themeShade="BF"/>
    </w:rPr>
  </w:style>
  <w:style w:type="character" w:styleId="IntenseReference">
    <w:name w:val="Intense Reference"/>
    <w:basedOn w:val="DefaultParagraphFont"/>
    <w:uiPriority w:val="32"/>
    <w:qFormat/>
    <w:rsid w:val="00125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4353">
      <w:bodyDiv w:val="1"/>
      <w:marLeft w:val="0"/>
      <w:marRight w:val="0"/>
      <w:marTop w:val="0"/>
      <w:marBottom w:val="0"/>
      <w:divBdr>
        <w:top w:val="none" w:sz="0" w:space="0" w:color="auto"/>
        <w:left w:val="none" w:sz="0" w:space="0" w:color="auto"/>
        <w:bottom w:val="none" w:sz="0" w:space="0" w:color="auto"/>
        <w:right w:val="none" w:sz="0" w:space="0" w:color="auto"/>
      </w:divBdr>
    </w:div>
    <w:div w:id="490635114">
      <w:bodyDiv w:val="1"/>
      <w:marLeft w:val="0"/>
      <w:marRight w:val="0"/>
      <w:marTop w:val="0"/>
      <w:marBottom w:val="0"/>
      <w:divBdr>
        <w:top w:val="none" w:sz="0" w:space="0" w:color="auto"/>
        <w:left w:val="none" w:sz="0" w:space="0" w:color="auto"/>
        <w:bottom w:val="none" w:sz="0" w:space="0" w:color="auto"/>
        <w:right w:val="none" w:sz="0" w:space="0" w:color="auto"/>
      </w:divBdr>
    </w:div>
    <w:div w:id="1291283671">
      <w:bodyDiv w:val="1"/>
      <w:marLeft w:val="0"/>
      <w:marRight w:val="0"/>
      <w:marTop w:val="0"/>
      <w:marBottom w:val="0"/>
      <w:divBdr>
        <w:top w:val="none" w:sz="0" w:space="0" w:color="auto"/>
        <w:left w:val="none" w:sz="0" w:space="0" w:color="auto"/>
        <w:bottom w:val="none" w:sz="0" w:space="0" w:color="auto"/>
        <w:right w:val="none" w:sz="0" w:space="0" w:color="auto"/>
      </w:divBdr>
    </w:div>
    <w:div w:id="1551767400">
      <w:bodyDiv w:val="1"/>
      <w:marLeft w:val="0"/>
      <w:marRight w:val="0"/>
      <w:marTop w:val="0"/>
      <w:marBottom w:val="0"/>
      <w:divBdr>
        <w:top w:val="none" w:sz="0" w:space="0" w:color="auto"/>
        <w:left w:val="none" w:sz="0" w:space="0" w:color="auto"/>
        <w:bottom w:val="none" w:sz="0" w:space="0" w:color="auto"/>
        <w:right w:val="none" w:sz="0" w:space="0" w:color="auto"/>
      </w:divBdr>
    </w:div>
    <w:div w:id="1666283275">
      <w:bodyDiv w:val="1"/>
      <w:marLeft w:val="0"/>
      <w:marRight w:val="0"/>
      <w:marTop w:val="0"/>
      <w:marBottom w:val="0"/>
      <w:divBdr>
        <w:top w:val="none" w:sz="0" w:space="0" w:color="auto"/>
        <w:left w:val="none" w:sz="0" w:space="0" w:color="auto"/>
        <w:bottom w:val="none" w:sz="0" w:space="0" w:color="auto"/>
        <w:right w:val="none" w:sz="0" w:space="0" w:color="auto"/>
      </w:divBdr>
    </w:div>
    <w:div w:id="1748726999">
      <w:bodyDiv w:val="1"/>
      <w:marLeft w:val="0"/>
      <w:marRight w:val="0"/>
      <w:marTop w:val="0"/>
      <w:marBottom w:val="0"/>
      <w:divBdr>
        <w:top w:val="none" w:sz="0" w:space="0" w:color="auto"/>
        <w:left w:val="none" w:sz="0" w:space="0" w:color="auto"/>
        <w:bottom w:val="none" w:sz="0" w:space="0" w:color="auto"/>
        <w:right w:val="none" w:sz="0" w:space="0" w:color="auto"/>
      </w:divBdr>
    </w:div>
    <w:div w:id="1963032223">
      <w:bodyDiv w:val="1"/>
      <w:marLeft w:val="0"/>
      <w:marRight w:val="0"/>
      <w:marTop w:val="0"/>
      <w:marBottom w:val="0"/>
      <w:divBdr>
        <w:top w:val="none" w:sz="0" w:space="0" w:color="auto"/>
        <w:left w:val="none" w:sz="0" w:space="0" w:color="auto"/>
        <w:bottom w:val="none" w:sz="0" w:space="0" w:color="auto"/>
        <w:right w:val="none" w:sz="0" w:space="0" w:color="auto"/>
      </w:divBdr>
    </w:div>
    <w:div w:id="211828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1570</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4</cp:revision>
  <dcterms:created xsi:type="dcterms:W3CDTF">2025-06-20T14:05:00Z</dcterms:created>
  <dcterms:modified xsi:type="dcterms:W3CDTF">2025-06-23T13:46:00Z</dcterms:modified>
</cp:coreProperties>
</file>