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Progression pédagogique annuelle — 4e</w:t>
      </w:r>
    </w:p>
    <w:p>
      <w:pPr>
        <w:spacing w:after="300"/>
      </w:pPr>
      <w:r>
        <w:rPr>
          <w:color w:val="555555"/>
          <w:sz w:val="22"/>
          <w:szCs w:val="22"/>
        </w:rPr>
        <w:t xml:space="preserve">Année scolaire 2026-2027 — Zone B</w:t>
      </w:r>
    </w:p>
    <w:p>
      <w:pPr>
        <w:pStyle w:val="Heading2"/>
        <w:spacing w:after="120" w:before="240"/>
      </w:pPr>
      <w:r>
        <w:t xml:space="preserve">Cadre et méthode</w:t>
      </w:r>
    </w:p>
    <w:p>
      <w:pPr>
        <w:spacing w:after="120"/>
      </w:pPr>
      <w:r>
        <w:t xml:space="preserve">Volume horaire : 3 h 30 par semaine. Ce volume inclut les rituels d'automatismes (environ 30 min/semaine) et les évaluations (un contrôle avec correction par chapitre, temps déjà intégré dans les durées indiquées ci-dessous) : le temps net disponible pour la progression de chapitres est donc d'environ 3 h/semaine utile, soit ≈ 99 h sur l'année (34,2 semaines de classe en zone B, hors périodes de vacances).</w:t>
      </w:r>
    </w:p>
    <w:p>
      <w:pPr>
        <w:spacing w:after="120"/>
      </w:pPr>
      <w:r>
        <w:t xml:space="preserve">Les durées par chapitre sont des estimations (cours + exercices + évaluation), calibrées sur la longueur et la densité notionnelle de chaque chapitre existant ; elles sont à ajuster selon le rythme réel de la classe.</w:t>
      </w:r>
    </w:p>
    <w:p>
      <w:pPr>
        <w:spacing w:after="120"/>
      </w:pPr>
      <w:r>
        <w:t xml:space="preserve">Programme de référence : cycle 4 (BO spécial n°11 du 26 novembre 2015), ajusté et fixé par la note de service n°2019-072 du 28 mai 2019 (BO n°22 du 29-5-2019) — texte en vigueur en 4e pour 2026-2027, le nouveau programme (BO n°10 du 5 mars 2026) n'entrant en application en 4e qu'à la rentrée 2027-2028. Chaque chapitre listé ci-dessous a été audité et vérifié citation à l'appui par rapport aux attendus de fin de 4e (voir detail_manques_et_surplus_par_chapitre_4e.md pour le détail complet, contenu/manque/citation par chapitre).</w:t>
      </w:r>
    </w:p>
    <w:p>
      <w:pPr>
        <w:pStyle w:val="Heading2"/>
        <w:spacing w:after="120" w:before="240"/>
      </w:pPr>
      <w:r>
        <w:t xml:space="preserve">Calendrier et répartition par période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350"/>
        <w:gridCol w:w="1500"/>
      </w:tblGrid>
      <w:tr>
        <w:trPr>
          <w:tblHeader/>
        </w:trPr>
        <w:tc>
          <w:tcPr>
            <w:tcW w:type="dxa" w:w="1500"/>
            <w:shd w:fill="2E5395" w:val="clear"/>
            <w:tcMar>
              <w:top w:type="dxa" w:w="80"/>
              <w:left w:type="dxa" w:w="100"/>
              <w:bottom w:type="dxa" w:w="80"/>
              <w:right w:type="dxa" w:w="100"/>
            </w:tcMar>
            <w:vAlign w:val="center"/>
          </w:tcPr>
          <w:p>
            <w:pPr>
              <w:jc w:val="left"/>
            </w:pPr>
            <w:r>
              <w:rPr>
                <w:b/>
                <w:bCs/>
                <w:i w:val="false"/>
                <w:iCs w:val="false"/>
                <w:color w:val="FFFFFF"/>
                <w:sz w:val="19"/>
                <w:szCs w:val="19"/>
              </w:rPr>
              <w:t xml:space="preserve">Période</w:t>
            </w:r>
          </w:p>
        </w:tc>
        <w:tc>
          <w:tcPr>
            <w:tcW w:type="dxa" w:w="2000"/>
            <w:shd w:fill="2E5395" w:val="clear"/>
            <w:tcMar>
              <w:top w:type="dxa" w:w="80"/>
              <w:left w:type="dxa" w:w="100"/>
              <w:bottom w:type="dxa" w:w="80"/>
              <w:right w:type="dxa" w:w="100"/>
            </w:tcMar>
            <w:vAlign w:val="center"/>
          </w:tcPr>
          <w:p>
            <w:pPr>
              <w:jc w:val="left"/>
            </w:pPr>
            <w:r>
              <w:rPr>
                <w:b/>
                <w:bCs/>
                <w:i w:val="false"/>
                <w:iCs w:val="false"/>
                <w:color w:val="FFFFFF"/>
                <w:sz w:val="19"/>
                <w:szCs w:val="19"/>
              </w:rPr>
              <w:t xml:space="preserve">Domaine</w:t>
            </w:r>
          </w:p>
        </w:tc>
        <w:tc>
          <w:tcPr>
            <w:tcW w:type="dxa" w:w="4350"/>
            <w:shd w:fill="2E5395" w:val="clear"/>
            <w:tcMar>
              <w:top w:type="dxa" w:w="80"/>
              <w:left w:type="dxa" w:w="100"/>
              <w:bottom w:type="dxa" w:w="80"/>
              <w:right w:type="dxa" w:w="100"/>
            </w:tcMar>
            <w:vAlign w:val="center"/>
          </w:tcPr>
          <w:p>
            <w:pPr>
              <w:jc w:val="left"/>
            </w:pPr>
            <w:r>
              <w:rPr>
                <w:b/>
                <w:bCs/>
                <w:i w:val="false"/>
                <w:iCs w:val="false"/>
                <w:color w:val="FFFFFF"/>
                <w:sz w:val="19"/>
                <w:szCs w:val="19"/>
              </w:rPr>
              <w:t xml:space="preserve">Chapitre</w:t>
            </w:r>
          </w:p>
        </w:tc>
        <w:tc>
          <w:tcPr>
            <w:tcW w:type="dxa" w:w="1500"/>
            <w:shd w:fill="2E5395" w:val="clear"/>
            <w:tcMar>
              <w:top w:type="dxa" w:w="80"/>
              <w:left w:type="dxa" w:w="100"/>
              <w:bottom w:type="dxa" w:w="80"/>
              <w:right w:type="dxa" w:w="100"/>
            </w:tcMar>
            <w:vAlign w:val="center"/>
          </w:tcPr>
          <w:p>
            <w:pPr>
              <w:jc w:val="center"/>
            </w:pPr>
            <w:r>
              <w:rPr>
                <w:b/>
                <w:bCs/>
                <w:i w:val="false"/>
                <w:iCs w:val="false"/>
                <w:color w:val="FFFFFF"/>
                <w:sz w:val="19"/>
                <w:szCs w:val="19"/>
              </w:rPr>
              <w:t xml:space="preserve">Durée</w:t>
            </w:r>
          </w:p>
        </w:tc>
      </w:tr>
      <w:tr>
        <w:tc>
          <w:tcPr>
            <w:tcW w:type="dxa" w:w="1500"/>
            <w:vMerge w:val="restart"/>
            <w:shd w:fill="EDF2FA" w:val="clear"/>
            <w:tcMar>
              <w:top w:type="dxa" w:w="80"/>
              <w:left w:type="dxa" w:w="100"/>
              <w:bottom w:type="dxa" w:w="80"/>
              <w:right w:type="dxa" w:w="100"/>
            </w:tcMar>
            <w:vAlign w:val="center"/>
          </w:tcPr>
          <w:p>
            <w:r>
              <w:rPr>
                <w:b/>
                <w:bCs/>
                <w:sz w:val="19"/>
                <w:szCs w:val="19"/>
              </w:rPr>
              <w:t xml:space="preserve">Période 1</w:t>
            </w:r>
          </w:p>
          <w:p>
            <w:r>
              <w:rPr>
                <w:i/>
                <w:iCs/>
                <w:sz w:val="16"/>
                <w:szCs w:val="16"/>
              </w:rPr>
              <w:t xml:space="preserve">1 sept. – 16 oct. 2026
(~6,8 sem.)</w:t>
            </w:r>
          </w:p>
          <w:p>
            <w:r>
              <w:rPr>
                <w:color w:val="666666"/>
                <w:sz w:val="15"/>
                <w:szCs w:val="15"/>
              </w:rPr>
              <w:t xml:space="preserve">≈118 % du budget</w:t>
            </w: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Nombres et calculs</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1 — Les nombres relatifs</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8 h</w:t>
            </w:r>
          </w:p>
        </w:tc>
      </w:tr>
      <w:tr>
        <w:tc>
          <w:tcPr>
            <w:tcW w:type="dxa" w:w="1500"/>
            <w:vMerge w:val="continue"/>
            <w:shd w:fill="EDF2FA" w:val="clear"/>
          </w:tcP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Espace et géométrie</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2 — Théorème de Pythagore (partie 1)</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5 h</w:t>
            </w:r>
          </w:p>
        </w:tc>
      </w:tr>
      <w:tr>
        <w:tc>
          <w:tcPr>
            <w:tcW w:type="dxa" w:w="1500"/>
            <w:vMerge w:val="continue"/>
            <w:shd w:fill="EDF2FA" w:val="clear"/>
          </w:tcP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Nombres et calculs</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3 — Écriture fractionnaire (partie 1)</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6 h</w:t>
            </w:r>
          </w:p>
        </w:tc>
      </w:tr>
      <w:tr>
        <w:tc>
          <w:tcPr>
            <w:tcW w:type="dxa" w:w="1500"/>
            <w:vMerge w:val="continue"/>
            <w:shd w:fill="EDF2FA" w:val="clear"/>
          </w:tcP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Espace et géométrie</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4 — Théorème de Pythagore (partie 2)</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5 h</w:t>
            </w:r>
          </w:p>
        </w:tc>
      </w:tr>
      <w:tr>
        <w:tc>
          <w:tcPr>
            <w:tcW w:type="dxa" w:w="1500"/>
            <w:vMerge w:val="restart"/>
            <w:shd w:fill="EDF2FA" w:val="clear"/>
            <w:tcMar>
              <w:top w:type="dxa" w:w="80"/>
              <w:left w:type="dxa" w:w="100"/>
              <w:bottom w:type="dxa" w:w="80"/>
              <w:right w:type="dxa" w:w="100"/>
            </w:tcMar>
            <w:vAlign w:val="center"/>
          </w:tcPr>
          <w:p>
            <w:r>
              <w:rPr>
                <w:b/>
                <w:bCs/>
                <w:sz w:val="19"/>
                <w:szCs w:val="19"/>
              </w:rPr>
              <w:t xml:space="preserve">Période 2</w:t>
            </w:r>
          </w:p>
          <w:p>
            <w:r>
              <w:rPr>
                <w:i/>
                <w:iCs/>
                <w:sz w:val="16"/>
                <w:szCs w:val="16"/>
              </w:rPr>
              <w:t xml:space="preserve">3 nov. – 18 déc. 2026
(~6,6 sem.)</w:t>
            </w:r>
          </w:p>
          <w:p>
            <w:r>
              <w:rPr>
                <w:color w:val="666666"/>
                <w:sz w:val="15"/>
                <w:szCs w:val="15"/>
              </w:rPr>
              <w:t xml:space="preserve">≈101 % du budget</w:t>
            </w: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Nombres et calculs</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5 — Écriture fractionnaire (partie 2)</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7 h</w:t>
            </w:r>
          </w:p>
        </w:tc>
      </w:tr>
      <w:tr>
        <w:tc>
          <w:tcPr>
            <w:tcW w:type="dxa" w:w="1500"/>
            <w:vMerge w:val="continue"/>
            <w:shd w:fill="EDF2FA" w:val="clear"/>
          </w:tcP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Espace et géométrie</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8 — Cosinus d'un angle aigu</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5 h</w:t>
            </w:r>
          </w:p>
        </w:tc>
      </w:tr>
      <w:tr>
        <w:tc>
          <w:tcPr>
            <w:tcW w:type="dxa" w:w="1500"/>
            <w:vMerge w:val="continue"/>
            <w:shd w:fill="EDF2FA" w:val="clear"/>
          </w:tcP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Organisation et gestion de données</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6 — Statistiques et probabilités</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8 h</w:t>
            </w:r>
          </w:p>
        </w:tc>
      </w:tr>
      <w:tr>
        <w:tc>
          <w:tcPr>
            <w:tcW w:type="dxa" w:w="1500"/>
            <w:vMerge w:val="restart"/>
            <w:shd w:fill="EDF2FA" w:val="clear"/>
            <w:tcMar>
              <w:top w:type="dxa" w:w="80"/>
              <w:left w:type="dxa" w:w="100"/>
              <w:bottom w:type="dxa" w:w="80"/>
              <w:right w:type="dxa" w:w="100"/>
            </w:tcMar>
            <w:vAlign w:val="center"/>
          </w:tcPr>
          <w:p>
            <w:r>
              <w:rPr>
                <w:b/>
                <w:bCs/>
                <w:sz w:val="19"/>
                <w:szCs w:val="19"/>
              </w:rPr>
              <w:t xml:space="preserve">Période 3</w:t>
            </w:r>
          </w:p>
          <w:p>
            <w:r>
              <w:rPr>
                <w:i/>
                <w:iCs/>
                <w:sz w:val="16"/>
                <w:szCs w:val="16"/>
              </w:rPr>
              <w:t xml:space="preserve">5 janv. – 19 fév. 2027
(~6,8 sem.)</w:t>
            </w:r>
          </w:p>
          <w:p>
            <w:r>
              <w:rPr>
                <w:color w:val="666666"/>
                <w:sz w:val="15"/>
                <w:szCs w:val="15"/>
              </w:rPr>
              <w:t xml:space="preserve">≈98 % du budget</w:t>
            </w: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Espace et géométrie</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7 — Géométrie dans l'espace</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7 h</w:t>
            </w:r>
          </w:p>
        </w:tc>
      </w:tr>
      <w:tr>
        <w:tc>
          <w:tcPr>
            <w:tcW w:type="dxa" w:w="1500"/>
            <w:vMerge w:val="continue"/>
            <w:shd w:fill="EDF2FA" w:val="clear"/>
          </w:tcP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Espace et géométrie</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9 — La translation</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6 h</w:t>
            </w:r>
          </w:p>
        </w:tc>
      </w:tr>
      <w:tr>
        <w:tc>
          <w:tcPr>
            <w:tcW w:type="dxa" w:w="1500"/>
            <w:vMerge w:val="continue"/>
            <w:shd w:fill="EDF2FA" w:val="clear"/>
          </w:tcP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Nombres et calculs</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10 — Puissances</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7 h</w:t>
            </w:r>
          </w:p>
        </w:tc>
      </w:tr>
      <w:tr>
        <w:tc>
          <w:tcPr>
            <w:tcW w:type="dxa" w:w="1500"/>
            <w:vMerge w:val="restart"/>
            <w:shd w:fill="EDF2FA" w:val="clear"/>
            <w:tcMar>
              <w:top w:type="dxa" w:w="80"/>
              <w:left w:type="dxa" w:w="100"/>
              <w:bottom w:type="dxa" w:w="80"/>
              <w:right w:type="dxa" w:w="100"/>
            </w:tcMar>
            <w:vAlign w:val="center"/>
          </w:tcPr>
          <w:p>
            <w:r>
              <w:rPr>
                <w:b/>
                <w:bCs/>
                <w:sz w:val="19"/>
                <w:szCs w:val="19"/>
              </w:rPr>
              <w:t xml:space="preserve">Période 4</w:t>
            </w:r>
          </w:p>
          <w:p>
            <w:r>
              <w:rPr>
                <w:i/>
                <w:iCs/>
                <w:sz w:val="16"/>
                <w:szCs w:val="16"/>
              </w:rPr>
              <w:t xml:space="preserve">9 mars – 16 avril 2027
(~5,6 sem.)</w:t>
            </w:r>
          </w:p>
          <w:p>
            <w:r>
              <w:rPr>
                <w:color w:val="666666"/>
                <w:sz w:val="15"/>
                <w:szCs w:val="15"/>
              </w:rPr>
              <w:t xml:space="preserve">≈83 % du budget</w:t>
            </w: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Nombres et calculs</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15 — Calcul littéral</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6 h</w:t>
            </w:r>
          </w:p>
        </w:tc>
      </w:tr>
      <w:tr>
        <w:tc>
          <w:tcPr>
            <w:tcW w:type="dxa" w:w="1500"/>
            <w:vMerge w:val="continue"/>
            <w:shd w:fill="EDF2FA" w:val="clear"/>
          </w:tcP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Nombres et calculs</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12 — Les équations</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8 h</w:t>
            </w:r>
          </w:p>
        </w:tc>
      </w:tr>
      <w:tr>
        <w:tc>
          <w:tcPr>
            <w:tcW w:type="dxa" w:w="1500"/>
            <w:vMerge w:val="restart"/>
            <w:shd w:fill="EDF2FA" w:val="clear"/>
            <w:tcMar>
              <w:top w:type="dxa" w:w="80"/>
              <w:left w:type="dxa" w:w="100"/>
              <w:bottom w:type="dxa" w:w="80"/>
              <w:right w:type="dxa" w:w="100"/>
            </w:tcMar>
            <w:vAlign w:val="center"/>
          </w:tcPr>
          <w:p>
            <w:r>
              <w:rPr>
                <w:b/>
                <w:bCs/>
                <w:sz w:val="19"/>
                <w:szCs w:val="19"/>
              </w:rPr>
              <w:t xml:space="preserve">Période 5</w:t>
            </w:r>
          </w:p>
          <w:p>
            <w:r>
              <w:rPr>
                <w:i/>
                <w:iCs/>
                <w:sz w:val="16"/>
                <w:szCs w:val="16"/>
              </w:rPr>
              <w:t xml:space="preserve">4 mai – 2 juil. 2027
(~8,4 sem.)</w:t>
            </w:r>
          </w:p>
          <w:p>
            <w:r>
              <w:rPr>
                <w:color w:val="666666"/>
                <w:sz w:val="15"/>
                <w:szCs w:val="15"/>
              </w:rPr>
              <w:t xml:space="preserve">≈109 % du budget</w:t>
            </w: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Organisation et gestion de données</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11 — Proportionnalité</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10 h</w:t>
            </w:r>
          </w:p>
        </w:tc>
      </w:tr>
      <w:tr>
        <w:tc>
          <w:tcPr>
            <w:tcW w:type="dxa" w:w="1500"/>
            <w:vMerge w:val="continue"/>
            <w:shd w:fill="EDF2FA" w:val="clear"/>
          </w:tcP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Espace et géométrie</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14 — Théorème de Thalès</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7 h</w:t>
            </w:r>
          </w:p>
        </w:tc>
      </w:tr>
      <w:tr>
        <w:tc>
          <w:tcPr>
            <w:tcW w:type="dxa" w:w="1500"/>
            <w:vMerge w:val="continue"/>
            <w:shd w:fill="EDF2FA" w:val="clear"/>
          </w:tcPr>
          <w:p/>
        </w:tc>
        <w:tc>
          <w:tcPr>
            <w:tcW w:type="dxa" w:w="2000"/>
            <w:tcMar>
              <w:top w:type="dxa" w:w="80"/>
              <w:left w:type="dxa" w:w="100"/>
              <w:bottom w:type="dxa" w:w="80"/>
              <w:right w:type="dxa" w:w="100"/>
            </w:tcMar>
            <w:vAlign w:val="center"/>
          </w:tcPr>
          <w:p>
            <w:pPr>
              <w:jc w:val="left"/>
            </w:pPr>
            <w:r>
              <w:rPr>
                <w:b w:val="false"/>
                <w:bCs w:val="false"/>
                <w:i/>
                <w:iCs/>
                <w:color w:val="444444"/>
                <w:sz w:val="19"/>
                <w:szCs w:val="19"/>
              </w:rPr>
              <w:t xml:space="preserve">Nombres et calculs</w:t>
            </w:r>
          </w:p>
        </w:tc>
        <w:tc>
          <w:tcPr>
            <w:tcW w:type="dxa" w:w="4350"/>
            <w:tcMar>
              <w:top w:type="dxa" w:w="80"/>
              <w:left w:type="dxa" w:w="100"/>
              <w:bottom w:type="dxa" w:w="80"/>
              <w:right w:type="dxa" w:w="100"/>
            </w:tcMar>
            <w:vAlign w:val="center"/>
          </w:tcPr>
          <w:p>
            <w:pPr>
              <w:jc w:val="left"/>
            </w:pPr>
            <w:r>
              <w:rPr>
                <w:b w:val="false"/>
                <w:bCs w:val="false"/>
                <w:i w:val="false"/>
                <w:iCs w:val="false"/>
                <w:sz w:val="19"/>
                <w:szCs w:val="19"/>
              </w:rPr>
              <w:t xml:space="preserve">Ch. 13 — Arithmétique</w:t>
            </w:r>
          </w:p>
        </w:tc>
        <w:tc>
          <w:tcPr>
            <w:tcW w:type="dxa" w:w="1500"/>
            <w:tcMar>
              <w:top w:type="dxa" w:w="80"/>
              <w:left w:type="dxa" w:w="100"/>
              <w:bottom w:type="dxa" w:w="80"/>
              <w:right w:type="dxa" w:w="100"/>
            </w:tcMar>
            <w:vAlign w:val="center"/>
          </w:tcPr>
          <w:p>
            <w:pPr>
              <w:jc w:val="center"/>
            </w:pPr>
            <w:r>
              <w:rPr>
                <w:b/>
                <w:bCs/>
                <w:i w:val="false"/>
                <w:iCs w:val="false"/>
                <w:sz w:val="19"/>
                <w:szCs w:val="19"/>
              </w:rPr>
              <w:t xml:space="preserve">7 h</w:t>
            </w:r>
          </w:p>
        </w:tc>
      </w:tr>
    </w:tbl>
    <w:p>
      <w:pPr>
        <w:spacing w:after="200"/>
      </w:pPr>
    </w:p>
    <w:p>
      <w:pPr>
        <w:pStyle w:val="Heading2"/>
        <w:spacing w:after="120" w:before="240"/>
      </w:pPr>
      <w:r>
        <w:t xml:space="preserve">Justification de l'ordre pédagogique</w:t>
      </w:r>
    </w:p>
    <w:p>
      <w:pPr>
        <w:pStyle w:val="ListParagraph"/>
        <w:numPr>
          <w:ilvl w:val="0"/>
          <w:numId w:val="1"/>
        </w:numPr>
        <w:spacing w:after="80"/>
      </w:pPr>
      <w:r>
        <w:t xml:space="preserve">Le numéro de chapitre affiché sur le site (classe-4e.html) reste le numéro de référence habituel ; l'ordre d'enseignement proposé ici en diffère à deux endroits, justifiés ci-dessous — le numéro de chapitre n'est qu'une étiquette de classement, pas la séquence de cours.</w:t>
      </w:r>
    </w:p>
    <w:p>
      <w:pPr>
        <w:pStyle w:val="ListParagraph"/>
        <w:numPr>
          <w:ilvl w:val="0"/>
          <w:numId w:val="1"/>
        </w:numPr>
        <w:spacing w:after="80"/>
      </w:pPr>
      <w:r>
        <w:t xml:space="preserve">Calcul littéral (ch. 15) est avancé avant Les équations (ch. 12) : résoudre une équation suppose de savoir développer/réduire une expression littérale (distributivité). Dans l'ordre numérique actuel du site, le calcul littéral arrive après les équations, ce qui inverse le prérequis — ce point est donc corrigé dans la progression.</w:t>
      </w:r>
    </w:p>
    <w:p>
      <w:pPr>
        <w:pStyle w:val="ListParagraph"/>
        <w:numPr>
          <w:ilvl w:val="0"/>
          <w:numId w:val="1"/>
        </w:numPr>
        <w:spacing w:after="80"/>
      </w:pPr>
      <w:r>
        <w:t xml:space="preserve">Alternance des domaines par période plutôt que blocs monolithiques : chaque période mélange Nombres et calculs, Espace et géométrie, et Organisation et gestion de données, pour éviter une trop longue série de chapitres du même domaine (fatigue, décrochage) et garder les probabilités/statistiques (ch. 6) et la proportionnalité (ch. 11) reliées à un même fil directeur (lecture et traitement de données).</w:t>
      </w:r>
    </w:p>
    <w:p>
      <w:pPr>
        <w:pStyle w:val="ListParagraph"/>
        <w:numPr>
          <w:ilvl w:val="0"/>
          <w:numId w:val="1"/>
        </w:numPr>
        <w:spacing w:after="80"/>
      </w:pPr>
      <w:r>
        <w:t xml:space="preserve">Pythagore parties 1 et 2 (ch. 2 et 4) restent proches (période 1) pour capitaliser sur la notion de racine carrée fraîchement introduite en ch. 2 ; le cosinus (ch. 8, même famille « triangle rectangle ») est replacé juste après en période 2, sans être trop éloigné.</w:t>
      </w:r>
    </w:p>
    <w:p>
      <w:pPr>
        <w:pStyle w:val="ListParagraph"/>
        <w:numPr>
          <w:ilvl w:val="0"/>
          <w:numId w:val="1"/>
        </w:numPr>
        <w:spacing w:after="80"/>
      </w:pPr>
      <w:r>
        <w:t xml:space="preserve">Proportionnalité (ch. 11), Thalès (ch. 14) et Arithmétique (ch. 13) sont regroupés en fin d'année (période 5) : ce sont des chapitres relativement autonomes (peu de prérequis en aval pour la suite immédiate du programme de 4e), ce qui en fait une réserve de flexibilité si le rythme a pris du retard sur les périodes précédentes.</w:t>
      </w:r>
    </w:p>
    <w:p>
      <w:pPr>
        <w:pStyle w:val="Heading2"/>
        <w:spacing w:after="120" w:before="240"/>
      </w:pPr>
      <w:r>
        <w:t xml:space="preserve">Points de vigilance</w:t>
      </w:r>
    </w:p>
    <w:p>
      <w:pPr>
        <w:pStyle w:val="ListParagraph"/>
        <w:numPr>
          <w:ilvl w:val="0"/>
          <w:numId w:val="1"/>
        </w:numPr>
        <w:spacing w:after="80"/>
      </w:pPr>
      <w:r>
        <w:t xml:space="preserve">Algorithmique et programmation : aucun créneau dédié n'a pu être budgété — le volume horaire net (~99 h) est déjà consommé par les 15 chapitres existants (102 h estimées, léger dépassement absorbé par les marges de fin de période). Recommandation : traiter les items de niveau 1 et 2 du programme (blocs fournis, variables, événements, conditions) par courtes séquences de 20 à 30 min insérées dans les séances de ch. 10 (Puissances) ou ch. 12 (Équations), ou lors de créneaux d'AP si disponibles, plutôt que comme chapitre à part entière.</w:t>
      </w:r>
    </w:p>
    <w:p>
      <w:pPr>
        <w:pStyle w:val="ListParagraph"/>
        <w:numPr>
          <w:ilvl w:val="0"/>
          <w:numId w:val="1"/>
        </w:numPr>
        <w:spacing w:after="80"/>
      </w:pPr>
      <w:r>
        <w:t xml:space="preserve">Période 1 est chargée (~118 % du budget nominal) : c'est la seule période sans pont ni interruption, ce qui absorbe en partie l'écart ; si besoin, le chapitre 4 (Pythagore, partie 2) peut glisser en tout début de période 2 sans conséquence sur la suite.</w:t>
      </w:r>
    </w:p>
    <w:p>
      <w:pPr>
        <w:pStyle w:val="ListParagraph"/>
        <w:numPr>
          <w:ilvl w:val="0"/>
          <w:numId w:val="1"/>
        </w:numPr>
        <w:spacing w:after="80"/>
      </w:pPr>
      <w:r>
        <w:t xml:space="preserve">Période 4 dispose d'une marge (~83 %, à cause du Lundi de Pâques et d'une période plus courte) : elle peut servir de tampon pour rattraper un éventuel retard des périodes 1 à 3.</w:t>
      </w:r>
    </w:p>
    <w:p>
      <w:pPr>
        <w:pStyle w:val="ListParagraph"/>
        <w:numPr>
          <w:ilvl w:val="0"/>
          <w:numId w:val="1"/>
        </w:numPr>
        <w:spacing w:after="80"/>
      </w:pPr>
      <w:r>
        <w:t xml:space="preserve">Trois gaps identifiés dans l'audit détaillé restent à intégrer dans les chapitres concernés avant leur enseignement : diagramme circulaire et médiane à petit effectif (ch. 6), repérage dans un pavé droit (ch. 7), reconnaissance graphique de proportionnalité et notion de fonction (ch. 11), factorisation par facteur commun (ch. 15) — voir detail_manques_et_surplus_par_chapitre_4e.md pour le détail exact et les citations.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2026-08-26T21:39:10.231Z</dcterms:created>
  <dcterms:modified xsi:type="dcterms:W3CDTF">2026-08-26T21:39:10.231Z</dcterms:modified>
</cp:coreProperties>
</file>

<file path=docProps/custom.xml><?xml version="1.0" encoding="utf-8"?>
<Properties xmlns="http://schemas.openxmlformats.org/officeDocument/2006/custom-properties" xmlns:vt="http://schemas.openxmlformats.org/officeDocument/2006/docPropsVTypes"/>
</file>