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Arial" w:hAnsi="Arial"/>
          <w:b/>
          <w:color w:val="1A2A3A"/>
          <w:sz w:val="36"/>
        </w:rPr>
        <w:t>Progression annuelle — Mathématiques 3ème — 2026/2027</w:t>
      </w:r>
    </w:p>
    <w:p>
      <w:pPr>
        <w:spacing w:after="160"/>
      </w:pPr>
      <w:r>
        <w:rPr>
          <w:rFonts w:ascii="Arial" w:hAnsi="Arial"/>
          <w:b w:val="0"/>
          <w:i w:val="0"/>
          <w:color w:val="666666"/>
          <w:sz w:val="19"/>
        </w:rPr>
        <w:t xml:space="preserve">Programme cycle 4 — BO spécial n°11 du 26/11/2015 (ancien programme, encore en vigueur en 3e cette année)  •  </w:t>
      </w:r>
      <w:r>
        <w:rPr>
          <w:rFonts w:ascii="Arial" w:hAnsi="Arial"/>
          <w:b/>
          <w:i w:val="0"/>
          <w:color w:val="2980B9"/>
          <w:sz w:val="19"/>
        </w:rPr>
        <w:t xml:space="preserve">13 chapitres  •  </w:t>
      </w:r>
      <w:r>
        <w:rPr>
          <w:rFonts w:ascii="Arial" w:hAnsi="Arial"/>
          <w:b/>
          <w:i w:val="0"/>
          <w:color w:val="27AE60"/>
          <w:sz w:val="19"/>
        </w:rPr>
        <w:t>93 heures de cours</w:t>
      </w:r>
    </w:p>
    <w:p>
      <w:pPr>
        <w:spacing w:before="160"/>
      </w:pPr>
      <w:r>
        <w:rPr>
          <w:rFonts w:ascii="Arial" w:hAnsi="Arial"/>
          <w:b/>
          <w:i w:val="0"/>
          <w:color w:val="000000"/>
          <w:sz w:val="17"/>
        </w:rPr>
        <w:t xml:space="preserve">Légende : </w:t>
      </w:r>
      <w:r>
        <w:rPr>
          <w:rFonts w:ascii="Arial" w:hAnsi="Arial"/>
          <w:b w:val="0"/>
          <w:i w:val="0"/>
          <w:color w:val="1B4F72"/>
          <w:sz w:val="17"/>
        </w:rPr>
        <w:t xml:space="preserve">■ Calcul  </w:t>
      </w:r>
      <w:r>
        <w:rPr>
          <w:rFonts w:ascii="Arial" w:hAnsi="Arial"/>
          <w:b w:val="0"/>
          <w:i w:val="0"/>
          <w:color w:val="1E8449"/>
          <w:sz w:val="17"/>
        </w:rPr>
        <w:t xml:space="preserve">■ Géométrie  </w:t>
      </w:r>
      <w:r>
        <w:rPr>
          <w:rFonts w:ascii="Arial" w:hAnsi="Arial"/>
          <w:b w:val="0"/>
          <w:i w:val="0"/>
          <w:color w:val="7D6608"/>
          <w:sz w:val="17"/>
        </w:rPr>
        <w:t xml:space="preserve">■ Données  </w:t>
      </w:r>
      <w:r>
        <w:rPr>
          <w:rFonts w:ascii="Arial" w:hAnsi="Arial"/>
          <w:b w:val="0"/>
          <w:i w:val="0"/>
          <w:color w:val="B9770E"/>
          <w:sz w:val="17"/>
        </w:rPr>
        <w:t xml:space="preserve">■ Proportion./Fonctions  </w:t>
      </w:r>
      <w:r>
        <w:rPr>
          <w:rFonts w:ascii="Arial" w:hAnsi="Arial"/>
          <w:b w:val="0"/>
          <w:i w:val="0"/>
          <w:color w:val="6C3483"/>
          <w:sz w:val="17"/>
        </w:rPr>
        <w:t xml:space="preserve">■ Algo/Info      </w:t>
      </w:r>
      <w:r>
        <w:rPr>
          <w:rFonts w:ascii="Arial" w:hAnsi="Arial"/>
          <w:b/>
          <w:i w:val="0"/>
          <w:color w:val="B9770E"/>
          <w:sz w:val="17"/>
        </w:rPr>
        <w:t xml:space="preserve">⚠ manque signalé par l'audit — à ajouter dans le chapitre     </w:t>
      </w:r>
      <w:r>
        <w:rPr>
          <w:rFonts w:ascii="Arial" w:hAnsi="Arial"/>
          <w:b w:val="0"/>
          <w:i w:val="0"/>
          <w:color w:val="888888"/>
          <w:sz w:val="17"/>
        </w:rPr>
        <w:t>Évaluations non comptées dans les heures (≈ 1h/chapitre) — préparation DNB incluse dans chaque chapitre</w:t>
      </w:r>
    </w:p>
    <w:tbl>
      <w:tblPr>
        <w:tblW w:type="auto" w:w="0"/>
        <w:tblLook w:firstColumn="1" w:firstRow="1" w:lastColumn="0" w:lastRow="0" w:noHBand="0" w:noVBand="1" w:val="04A0"/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200"/>
        <w:gridCol w:w="640"/>
        <w:gridCol w:w="3200"/>
        <w:gridCol w:w="2400"/>
      </w:tblGrid>
      <w:tr>
        <w:trPr>
          <w:tblHeader/>
        </w:trPr>
        <w:tc>
          <w:tcPr>
            <w:tcW w:type="dxa" w:w="2566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2566"/>
            <w:tcW w:w="2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Chapitre</w:t>
            </w:r>
          </w:p>
        </w:tc>
        <w:tc>
          <w:tcPr>
            <w:tcW w:type="dxa" w:w="2566"/>
            <w:tcW w:w="1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2566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Heures</w:t>
            </w:r>
          </w:p>
        </w:tc>
        <w:tc>
          <w:tcPr>
            <w:tcW w:type="dxa" w:w="2566"/>
            <w:tcW w:w="3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Contenu du cours</w:t>
            </w:r>
          </w:p>
        </w:tc>
        <w:tc>
          <w:tcPr>
            <w:tcW w:type="dxa" w:w="2566"/>
            <w:tcW w:w="24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Ressources disponibles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Rappels de calculs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Priorités de calculs et fractions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Puissances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Notation scientifique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Racines carrées : rappels et problèmes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fractions + correction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puissances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2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Théorème de Thalès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9h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Produit en croix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Théorème de Thalès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Réciproque du théorème de Thalès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Contraposée du théorème de Thalès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Agrandissement et réduction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3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Calcul littéral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distributivité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Identité remarquable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Factorisation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Déterminer l'opposé d'une expression littérale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distributivité simple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double distributivité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4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Trigonométrie dans le triangle rectangle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Trois formules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Utilisation de la calculatrice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 de longueur dans un triangle rectangle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 d'angles dans un triangle rectangle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Relations trigonométriques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Équations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Définitions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Équation du premier degré à une inconnue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Équation produit nul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Équation x² = a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+ correction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équations, produit nul, x²=a</w:t>
            </w:r>
          </w:p>
        </w:tc>
      </w:tr>
      <w:tr>
        <w:tc>
          <w:tcPr>
            <w:tcW w:type="dxa" w:w="560"/>
            <w:tcW w:w="56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6</w:t>
            </w:r>
          </w:p>
        </w:tc>
        <w:tc>
          <w:tcPr>
            <w:tcW w:type="dxa" w:w="2600"/>
            <w:tcW w:w="26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0"/>
              </w:rPr>
              <w:t>Statistiques</w:t>
            </w:r>
          </w:p>
        </w:tc>
        <w:tc>
          <w:tcPr>
            <w:tcW w:type="dxa" w:w="1200"/>
            <w:tcW w:w="12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7D6608"/>
                <w:sz w:val="18"/>
              </w:rPr>
              <w:t>Données</w:t>
            </w:r>
          </w:p>
        </w:tc>
        <w:tc>
          <w:tcPr>
            <w:tcW w:type="dxa" w:w="640"/>
            <w:tcW w:w="64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Vocabulaire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Caractéristiques de position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Caractéristiques de dispersion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Médiane avec les effectifs cumulés croissants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Statistiques avec des classes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Histogramme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7</w:t>
            </w:r>
          </w:p>
        </w:tc>
        <w:tc>
          <w:tcPr>
            <w:tcW w:type="dxa" w:w="2600"/>
            <w:tcW w:w="26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0"/>
              </w:rPr>
              <w:t>Notion de fonction</w:t>
            </w:r>
          </w:p>
        </w:tc>
        <w:tc>
          <w:tcPr>
            <w:tcW w:type="dxa" w:w="1200"/>
            <w:tcW w:w="12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B9770E"/>
                <w:sz w:val="18"/>
              </w:rPr>
              <w:t>Proportion. / Fonctions</w:t>
            </w:r>
          </w:p>
        </w:tc>
        <w:tc>
          <w:tcPr>
            <w:tcW w:type="dxa" w:w="640"/>
            <w:tcW w:w="64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Définitions-vocabulaire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Détermination d'une fonction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3.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Passage d'un mode de représentation à un autre (tableau ↔ graphique ↔ expression)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+ correction</w:t>
            </w:r>
          </w:p>
        </w:tc>
      </w:tr>
      <w:tr>
        <w:tc>
          <w:tcPr>
            <w:tcW w:type="dxa" w:w="560"/>
            <w:tcW w:w="56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8</w:t>
            </w:r>
          </w:p>
        </w:tc>
        <w:tc>
          <w:tcPr>
            <w:tcW w:type="dxa" w:w="2600"/>
            <w:tcW w:w="26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0"/>
              </w:rPr>
              <w:t>Probabilités</w:t>
            </w:r>
          </w:p>
        </w:tc>
        <w:tc>
          <w:tcPr>
            <w:tcW w:type="dxa" w:w="1200"/>
            <w:tcW w:w="12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7D6608"/>
                <w:sz w:val="18"/>
              </w:rPr>
              <w:t>Données</w:t>
            </w:r>
          </w:p>
        </w:tc>
        <w:tc>
          <w:tcPr>
            <w:tcW w:type="dxa" w:w="640"/>
            <w:tcW w:w="64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Vocabulaire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Notion de probabilité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 d'une probabilité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Expérience à deux épreuves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Feuille d'exercices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9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Arithmétique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 différents types de nombres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Divisibilité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Décomposition en produit de facteurs premiers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PGCD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PPCM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Application aux fractions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10</w:t>
            </w:r>
          </w:p>
        </w:tc>
        <w:tc>
          <w:tcPr>
            <w:tcW w:type="dxa" w:w="2600"/>
            <w:tcW w:w="26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0"/>
              </w:rPr>
              <w:t>Fonctions affines et linéaires</w:t>
            </w:r>
          </w:p>
        </w:tc>
        <w:tc>
          <w:tcPr>
            <w:tcW w:type="dxa" w:w="1200"/>
            <w:tcW w:w="12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B9770E"/>
                <w:sz w:val="18"/>
              </w:rPr>
              <w:t>Proportion. / Fonctions</w:t>
            </w:r>
          </w:p>
        </w:tc>
        <w:tc>
          <w:tcPr>
            <w:tcW w:type="dxa" w:w="640"/>
            <w:tcW w:w="64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Fonction linéaire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Fonctions affines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Trouver l'expression algébrique d'une fonction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Lien proportionnalité / fonction linéaire / coefficient multiplicateur / pourcentage d'évolution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11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Géométrie dans l'espace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8h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Sphère et boule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Cubes, parallélépipèdes rectangles et cylindres de révolution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Pyramide et cône de révolution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Repérage dans l'espace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5. ⚠ </w:t>
            </w:r>
            <w:r>
              <w:rPr>
                <w:rFonts w:ascii="Arial" w:hAnsi="Arial"/>
                <w:b w:val="0"/>
                <w:i/>
                <w:color w:val="B9770E"/>
                <w:sz w:val="18"/>
              </w:rPr>
              <w:t>Assemblages/sections de solides (volume d'un solide composé)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12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Transformations du plan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Rappels (symétries, translation, rotation)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Homothétie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13</w:t>
            </w:r>
          </w:p>
        </w:tc>
        <w:tc>
          <w:tcPr>
            <w:tcW w:type="dxa" w:w="2600"/>
            <w:tcW w:w="26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0"/>
              </w:rPr>
              <w:t>Algorithmique et programmation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6C3483"/>
                <w:sz w:val="18"/>
              </w:rPr>
              <w:t>Algo/Info</w:t>
            </w:r>
          </w:p>
        </w:tc>
        <w:tc>
          <w:tcPr>
            <w:tcW w:type="dxa" w:w="640"/>
            <w:tcW w:w="64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Écrire des programmes simples (niveau 1)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Gérer variables et événements (niveau 2)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Créer des blocs personnalisés, scripts complexes (niveau 3)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TOTAL</w:t>
            </w:r>
          </w:p>
        </w:tc>
        <w:tc>
          <w:tcPr>
            <w:tcW w:type="dxa" w:w="3800"/>
            <w:gridSpan w:val="2"/>
            <w:tcW w:w="38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13 chapitres — ancien programme (cycle 4, avant réforme 2028)</w:t>
            </w:r>
          </w:p>
        </w:tc>
        <w:tc>
          <w:tcPr>
            <w:tcW w:type="dxa" w:w="640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93h</w:t>
            </w:r>
          </w:p>
        </w:tc>
        <w:tc>
          <w:tcPr>
            <w:tcW w:type="dxa" w:w="5600"/>
            <w:gridSpan w:val="2"/>
            <w:tcW w:w="5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Volume : 3h30/sem × 33 sem = 115h30   −   Évaluations+corrections : ≈25h   −   Divers : ≈5h30</w:t>
            </w:r>
          </w:p>
        </w:tc>
      </w:tr>
    </w:tbl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