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rFonts w:ascii="Arial" w:hAnsi="Arial"/>
          <w:b/>
          <w:color w:val="1A2A3A"/>
          <w:sz w:val="36"/>
        </w:rPr>
        <w:t>Progression annuelle — Mathématiques 4ème — 2026/2027</w:t>
      </w:r>
    </w:p>
    <w:p>
      <w:pPr>
        <w:spacing w:after="160"/>
      </w:pPr>
      <w:r>
        <w:rPr>
          <w:rFonts w:ascii="Arial" w:hAnsi="Arial"/>
          <w:b w:val="0"/>
          <w:i w:val="0"/>
          <w:color w:val="666666"/>
          <w:sz w:val="19"/>
        </w:rPr>
        <w:t xml:space="preserve">Programme cycle 4 — BO spécial n°11 du 26/11/2015 (ancien programme, encore en vigueur en 4e cette année)  •  </w:t>
      </w:r>
      <w:r>
        <w:rPr>
          <w:rFonts w:ascii="Arial" w:hAnsi="Arial"/>
          <w:b/>
          <w:i w:val="0"/>
          <w:color w:val="2980B9"/>
          <w:sz w:val="19"/>
        </w:rPr>
        <w:t xml:space="preserve">16 chapitres  •  </w:t>
      </w:r>
      <w:r>
        <w:rPr>
          <w:rFonts w:ascii="Arial" w:hAnsi="Arial"/>
          <w:b/>
          <w:i w:val="0"/>
          <w:color w:val="27AE60"/>
          <w:sz w:val="19"/>
        </w:rPr>
        <w:t>93 heures de cours</w:t>
      </w:r>
    </w:p>
    <w:p>
      <w:pPr>
        <w:spacing w:before="160"/>
      </w:pPr>
      <w:r>
        <w:rPr>
          <w:rFonts w:ascii="Arial" w:hAnsi="Arial"/>
          <w:b/>
          <w:i w:val="0"/>
          <w:color w:val="000000"/>
          <w:sz w:val="17"/>
        </w:rPr>
        <w:t xml:space="preserve">Légende : </w:t>
      </w:r>
      <w:r>
        <w:rPr>
          <w:rFonts w:ascii="Arial" w:hAnsi="Arial"/>
          <w:b w:val="0"/>
          <w:i w:val="0"/>
          <w:color w:val="1B4F72"/>
          <w:sz w:val="17"/>
        </w:rPr>
        <w:t xml:space="preserve">■ Calcul  </w:t>
      </w:r>
      <w:r>
        <w:rPr>
          <w:rFonts w:ascii="Arial" w:hAnsi="Arial"/>
          <w:b w:val="0"/>
          <w:i w:val="0"/>
          <w:color w:val="1E8449"/>
          <w:sz w:val="17"/>
        </w:rPr>
        <w:t xml:space="preserve">■ Géométrie  </w:t>
      </w:r>
      <w:r>
        <w:rPr>
          <w:rFonts w:ascii="Arial" w:hAnsi="Arial"/>
          <w:b w:val="0"/>
          <w:i w:val="0"/>
          <w:color w:val="7D6608"/>
          <w:sz w:val="17"/>
        </w:rPr>
        <w:t xml:space="preserve">■ Données  </w:t>
      </w:r>
      <w:r>
        <w:rPr>
          <w:rFonts w:ascii="Arial" w:hAnsi="Arial"/>
          <w:b w:val="0"/>
          <w:i w:val="0"/>
          <w:color w:val="B9770E"/>
          <w:sz w:val="17"/>
        </w:rPr>
        <w:t xml:space="preserve">■ Proportion./Fonctions  </w:t>
      </w:r>
      <w:r>
        <w:rPr>
          <w:rFonts w:ascii="Arial" w:hAnsi="Arial"/>
          <w:b w:val="0"/>
          <w:i w:val="0"/>
          <w:color w:val="6C3483"/>
          <w:sz w:val="17"/>
        </w:rPr>
        <w:t xml:space="preserve">■ Algo/Info      </w:t>
      </w:r>
      <w:r>
        <w:rPr>
          <w:rFonts w:ascii="Arial" w:hAnsi="Arial"/>
          <w:b/>
          <w:i w:val="0"/>
          <w:color w:val="B9770E"/>
          <w:sz w:val="17"/>
        </w:rPr>
        <w:t xml:space="preserve">⚠ manque signalé par l'audit — à ajouter dans le chapitre     </w:t>
      </w:r>
      <w:r>
        <w:rPr>
          <w:rFonts w:ascii="Arial" w:hAnsi="Arial"/>
          <w:b w:val="0"/>
          <w:i w:val="0"/>
          <w:color w:val="888888"/>
          <w:sz w:val="17"/>
        </w:rPr>
        <w:t>Évaluations non comptées dans les heures (≈ 1h/chapitre)</w:t>
      </w:r>
    </w:p>
    <w:tbl>
      <w:tblPr>
        <w:tblW w:type="auto" w:w="0"/>
        <w:tblLook w:firstColumn="1" w:firstRow="1" w:lastColumn="0" w:lastRow="0" w:noHBand="0" w:noVBand="1" w:val="04A0"/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200"/>
        <w:gridCol w:w="640"/>
        <w:gridCol w:w="3200"/>
        <w:gridCol w:w="2400"/>
      </w:tblGrid>
      <w:tr>
        <w:trPr>
          <w:tblHeader/>
        </w:trPr>
        <w:tc>
          <w:tcPr>
            <w:tcW w:type="dxa" w:w="2566"/>
            <w:tcW w:w="56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N°</w:t>
            </w:r>
          </w:p>
        </w:tc>
        <w:tc>
          <w:tcPr>
            <w:tcW w:type="dxa" w:w="2566"/>
            <w:tcW w:w="26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Chapitre</w:t>
            </w:r>
          </w:p>
        </w:tc>
        <w:tc>
          <w:tcPr>
            <w:tcW w:type="dxa" w:w="2566"/>
            <w:tcW w:w="12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Domaine</w:t>
            </w:r>
          </w:p>
        </w:tc>
        <w:tc>
          <w:tcPr>
            <w:tcW w:type="dxa" w:w="2566"/>
            <w:tcW w:w="64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Heures</w:t>
            </w:r>
          </w:p>
        </w:tc>
        <w:tc>
          <w:tcPr>
            <w:tcW w:type="dxa" w:w="2566"/>
            <w:tcW w:w="32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Contenu du cours</w:t>
            </w:r>
          </w:p>
        </w:tc>
        <w:tc>
          <w:tcPr>
            <w:tcW w:type="dxa" w:w="2566"/>
            <w:tcW w:w="24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Ressources disponibles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Les nombres relatifs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7h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Additions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Soustractions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Multiplications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Divisions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Priorités opératoires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6.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Coordonnées d'un point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7.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Comparer, ranger et encadrer des nombres rationnels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2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Théorème de Pythagore — partie 1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Théorème de Pythagore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Carré et racine carrée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Calculer une longueur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Pythagore — calculs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3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Écriture fractionnaire — partie 1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Rappels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Addition et soustraction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Multiplication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4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Théorème de Pythagore — partie 2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Notion de réciproque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Réciproque du théorème de Pythagore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Contraposée du théorème de Pythagore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réciproque et contraposée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Écriture fractionnaire — partie 2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Notion d'inverse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Divisions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Produit en croix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6</w:t>
            </w:r>
          </w:p>
        </w:tc>
        <w:tc>
          <w:tcPr>
            <w:tcW w:type="dxa" w:w="2600"/>
            <w:tcW w:w="26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0"/>
              </w:rPr>
              <w:t>Statistiques et probabilités</w:t>
            </w:r>
          </w:p>
        </w:tc>
        <w:tc>
          <w:tcPr>
            <w:tcW w:type="dxa" w:w="1200"/>
            <w:tcW w:w="12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7D6608"/>
                <w:sz w:val="18"/>
              </w:rPr>
              <w:t>Données</w:t>
            </w:r>
          </w:p>
        </w:tc>
        <w:tc>
          <w:tcPr>
            <w:tcW w:type="dxa" w:w="640"/>
            <w:tcW w:w="64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8h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Définitions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Utiliser un tableur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Probabilité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Lien entre probabilité et fréquence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5.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Diagramme circulaire (lecture et représentation)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6.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Médiane d'une série de données de petit effectif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Devoir : stat-proba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7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Géométrie dans l'espace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6h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Pyramide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Cône de révolution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Volumes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4.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Repérage dans un pavé droit (abscisse, ordonnée, altitude)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8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Cosinus d'un angle aigu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Rappels et vocabulaire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Cosinus d'un angle aigu d'un triangle rectangle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Cosinus et calculatrice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Exemples d'utilisation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9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La translation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4h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Définitions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Construction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Propriétés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10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Puissances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Puissance d'un nombre (positive, négative)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Puissances de 10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Notation scientifique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Préfixes des unités de mesure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11</w:t>
            </w:r>
          </w:p>
        </w:tc>
        <w:tc>
          <w:tcPr>
            <w:tcW w:type="dxa" w:w="2600"/>
            <w:tcW w:w="26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0"/>
              </w:rPr>
              <w:t>Proportionnalité</w:t>
            </w:r>
          </w:p>
        </w:tc>
        <w:tc>
          <w:tcPr>
            <w:tcW w:type="dxa" w:w="1200"/>
            <w:tcW w:w="12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B9770E"/>
                <w:sz w:val="18"/>
              </w:rPr>
              <w:t>Proportion. / Fonctions</w:t>
            </w:r>
          </w:p>
        </w:tc>
        <w:tc>
          <w:tcPr>
            <w:tcW w:type="dxa" w:w="640"/>
            <w:tcW w:w="64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8h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Reconnaître une situation de proportionnalité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Remplir un tableau de proportionnalité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Applications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4.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Reconnaître sur un graphique une situation de proportionnalité ou non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5.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Notion de fonction : dépendance entre deux grandeurs (formule et graphique)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Devoir : test proportionnalité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12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Les équations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6h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Qu'est-ce qu'une équation ?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Vérifier si un nombre est solution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Résoudre une équation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Mettre un problème en équation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Corrigé : mise en équation du 1er degré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13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Arithmétique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6h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Divisibilité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Nombres premiers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Décomposition en produit de facteurs premiers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PGCD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PPCM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14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Théorème de Thalès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7h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Cas d'égalité des triangles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Théorème de Thalès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Réciproque du théorème de Thalès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15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Calcul littéral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7h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Rappel — distributivité simple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Double distributivité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Cas particulier : carré d'une somme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4.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Factoriser une somme (facteur commun)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2"/>
              </w:rPr>
              <w:t>16</w:t>
            </w:r>
          </w:p>
        </w:tc>
        <w:tc>
          <w:tcPr>
            <w:tcW w:type="dxa" w:w="2600"/>
            <w:tcW w:w="260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0"/>
              </w:rPr>
              <w:t>Algorithmique et programmation</w:t>
            </w:r>
            <w:r>
              <w:rPr>
                <w:rFonts w:ascii="Arial" w:hAnsi="Arial"/>
                <w:b/>
                <w:i/>
                <w:color w:val="C0392B"/>
                <w:sz w:val="16"/>
              </w:rPr>
              <w:t xml:space="preserve">  ⚠ à créer</w:t>
            </w:r>
          </w:p>
        </w:tc>
        <w:tc>
          <w:tcPr>
            <w:tcW w:type="dxa" w:w="1200"/>
            <w:tcW w:w="120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6C3483"/>
                <w:sz w:val="18"/>
              </w:rPr>
              <w:t>Algo/Info</w:t>
            </w:r>
          </w:p>
        </w:tc>
        <w:tc>
          <w:tcPr>
            <w:tcW w:type="dxa" w:w="640"/>
            <w:tcW w:w="64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2"/>
              </w:rPr>
              <w:t>4h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Niveau 1 : construire un programme simple à partir de blocs fournis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Niveau 2 : gérer des événements, variables, instructions conditionnelles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Niveau 3 : blocs personnalisés, boucles imbriquées, scripts en parallèle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C0392B"/>
                <w:sz w:val="18"/>
              </w:rPr>
              <w:t xml:space="preserve">⚠ 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>Cours à rédiger</w:t>
            </w:r>
          </w:p>
        </w:tc>
      </w:tr>
      <w:tr>
        <w:tc>
          <w:tcPr>
            <w:tcW w:type="dxa" w:w="560"/>
            <w:tcW w:w="56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TOTAL</w:t>
            </w:r>
          </w:p>
        </w:tc>
        <w:tc>
          <w:tcPr>
            <w:tcW w:type="dxa" w:w="3800"/>
            <w:gridSpan w:val="2"/>
            <w:tcW w:w="38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16 chapitres — ancien programme (cycle 4, avant réforme 2027)</w:t>
            </w:r>
          </w:p>
        </w:tc>
        <w:tc>
          <w:tcPr>
            <w:tcW w:type="dxa" w:w="640"/>
            <w:tcW w:w="64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93h</w:t>
            </w:r>
          </w:p>
        </w:tc>
        <w:tc>
          <w:tcPr>
            <w:tcW w:type="dxa" w:w="5600"/>
            <w:gridSpan w:val="2"/>
            <w:tcW w:w="56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Volume : 3h30/sem × 33 sem = 115h30   −   Évaluations+corrections : ≈25h   −   Divers : ≈5h30</w:t>
            </w:r>
          </w:p>
        </w:tc>
      </w:tr>
    </w:tbl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