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HyperPulse — Portfolio Intelligence for Hyperliquid Traders</w:t>
      </w:r>
    </w:p>
    <w:p>
      <w:pPr>
        <w:pStyle w:val="Heading2"/>
      </w:pPr>
      <w:r>
        <w:t>Overview</w:t>
      </w:r>
    </w:p>
    <w:p>
      <w:r>
        <w:t>HyperPulse is a portfolio analytics and trade review platform built specifically for Hyperliquid perpetuals traders. It transforms raw on-chain trading data into clear performance insights, a structured trade journal, and actionable feedback that helps traders improve decision-making and risk control over time.</w:t>
      </w:r>
    </w:p>
    <w:p>
      <w:pPr>
        <w:pStyle w:val="Heading2"/>
      </w:pPr>
      <w:r>
        <w:t>Problem</w:t>
      </w:r>
    </w:p>
    <w:p>
      <w:r>
        <w:t>Perps traders lack a professional-grade analytics layer tailored to Hyperliquid. Most tools are either exchange-native dashboards with limited context, or generic crypto analytics that don’t reflect how real traders track their edge. The result: weak self-review, inconsistent sizing, and avoidable drawdowns.</w:t>
      </w:r>
    </w:p>
    <w:p>
      <w:pPr>
        <w:pStyle w:val="Heading2"/>
      </w:pPr>
      <w:r>
        <w:t>Solution</w:t>
      </w:r>
    </w:p>
    <w:p>
      <w:r>
        <w:t>HyperPulse ingests a trader’s Hyperliquid data and automatically builds a complete performance profile: net P&amp;L, win/loss distributions, drawdowns, equity curve, funding impact, best/worst assets, time‑of‑day performance, and a searchable trade journal. It emphasizes human-readable insights over jargon, making it useful for retail traders rather than institutions.</w:t>
      </w:r>
    </w:p>
    <w:p>
      <w:pPr>
        <w:pStyle w:val="Heading2"/>
      </w:pPr>
      <w:r>
        <w:t>Why It’s Different</w:t>
      </w:r>
    </w:p>
    <w:p>
      <w:r>
        <w:t>HyperPulse is purpose-built for Hyperliquid. It is fully read‑only, does not custody funds, and requires no API keys. It mirrors Hyperliquid’s mechanics precisely, including funding and margin behavior, and provides trader‑centric recommendations (position sizing, time stops, fee reduction, funding drag awareness) that generic tools do not.</w:t>
      </w:r>
    </w:p>
    <w:p>
      <w:pPr>
        <w:pStyle w:val="Heading2"/>
      </w:pPr>
      <w:r>
        <w:t>Long‑Term Vision</w:t>
      </w:r>
    </w:p>
    <w:p>
      <w:r>
        <w:t>HyperPulse aims to become the default self‑review layer for decentralized perps. Over time, it will enable multi‑wallet comparisons, goal tracking, and personalized coaching based on actual trading behavior—helping traders compound skill, not just capital.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