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9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Executive View</w:t>
      </w:r>
    </w:p>
    <w:p>
      <w:pPr>
        <w:spacing w:after="90" w:before="0" w:line="252"/>
      </w:pPr>
      <w:r>
        <w:rPr>
          <w:rFonts w:ascii="Arial" w:cs="Arial" w:eastAsia="Arial" w:hAnsi="Arial"/>
          <w:b w:val="false"/>
          <w:bCs w:val="false"/>
          <w:i w:val="false"/>
          <w:iCs w:val="false"/>
          <w:color w:val="17201C"/>
          <w:sz w:val="19"/>
          <w:szCs w:val="19"/>
        </w:rPr>
        <w:t xml:space="preserve">I would submit three wallets for follow-up. </w:t>
      </w:r>
      <w:r>
        <w:rPr>
          <w:rFonts w:ascii="Arial" w:cs="Arial" w:eastAsia="Arial" w:hAnsi="Arial"/>
          <w:b/>
          <w:bCs/>
          <w:i w:val="false"/>
          <w:iCs w:val="false"/>
          <w:color w:val="17201C"/>
          <w:sz w:val="19"/>
          <w:szCs w:val="19"/>
        </w:rPr>
        <w:t xml:space="preserve">Kevindoto</w:t>
      </w:r>
      <w:r>
        <w:rPr>
          <w:rFonts w:ascii="Arial" w:cs="Arial" w:eastAsia="Arial" w:hAnsi="Arial"/>
          <w:b w:val="false"/>
          <w:bCs w:val="false"/>
          <w:i w:val="false"/>
          <w:iCs w:val="false"/>
          <w:color w:val="17201C"/>
          <w:sz w:val="19"/>
          <w:szCs w:val="19"/>
        </w:rPr>
        <w:t xml:space="preserve"> is the strongest market-structure case: one wallet bought both sides of the same Spotify ranking thesis, The Weeknd to finish third and Drake not to finish third. </w:t>
      </w:r>
      <w:r>
        <w:rPr>
          <w:rFonts w:ascii="Arial" w:cs="Arial" w:eastAsia="Arial" w:hAnsi="Arial"/>
          <w:b/>
          <w:bCs/>
          <w:i w:val="false"/>
          <w:iCs w:val="false"/>
          <w:color w:val="17201C"/>
          <w:sz w:val="19"/>
          <w:szCs w:val="19"/>
        </w:rPr>
        <w:t xml:space="preserve">AllYourMoniesAreBelongToMe</w:t>
      </w:r>
      <w:r>
        <w:rPr>
          <w:rFonts w:ascii="Arial" w:cs="Arial" w:eastAsia="Arial" w:hAnsi="Arial"/>
          <w:b w:val="false"/>
          <w:bCs w:val="false"/>
          <w:i w:val="false"/>
          <w:iCs w:val="false"/>
          <w:color w:val="17201C"/>
          <w:sz w:val="19"/>
          <w:szCs w:val="19"/>
        </w:rPr>
        <w:t xml:space="preserve"> is the clearest size anomaly: the BTS sales bet was roughly 116 times the wallet's prior median trade. </w:t>
      </w:r>
      <w:r>
        <w:rPr>
          <w:rFonts w:ascii="Arial" w:cs="Arial" w:eastAsia="Arial" w:hAnsi="Arial"/>
          <w:b/>
          <w:bCs/>
          <w:i w:val="false"/>
          <w:iCs w:val="false"/>
          <w:color w:val="17201C"/>
          <w:sz w:val="19"/>
          <w:szCs w:val="19"/>
        </w:rPr>
        <w:t xml:space="preserve">cookiejar</w:t>
      </w:r>
      <w:r>
        <w:rPr>
          <w:rFonts w:ascii="Arial" w:cs="Arial" w:eastAsia="Arial" w:hAnsi="Arial"/>
          <w:b w:val="false"/>
          <w:bCs w:val="false"/>
          <w:i w:val="false"/>
          <w:iCs w:val="false"/>
          <w:color w:val="17201C"/>
          <w:sz w:val="19"/>
          <w:szCs w:val="19"/>
        </w:rPr>
        <w:t xml:space="preserve"> is the cleanest production-access case: it bought a Beast Games outcome weeks before resolution, when the result may already have been known inside the production chain.</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The point is not that these wallets simply won. The stronger pattern is correct-side buying in markets where a specific group could plausibly know the answer earlier than the public.</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Screen and Heuristics</w:t>
      </w:r>
    </w:p>
    <w:p>
      <w:pPr>
        <w:spacing w:after="90" w:before="0" w:line="252"/>
      </w:pPr>
      <w:r>
        <w:rPr>
          <w:rFonts w:ascii="Arial" w:cs="Arial" w:eastAsia="Arial" w:hAnsi="Arial"/>
          <w:b w:val="false"/>
          <w:bCs w:val="false"/>
          <w:i w:val="false"/>
          <w:iCs w:val="false"/>
          <w:color w:val="17201C"/>
          <w:sz w:val="19"/>
          <w:szCs w:val="19"/>
        </w:rPr>
        <w:t xml:space="preserve">The review covered 154 resolved markets, $211.9 million of market lifetime volume, and 205,362 pulled trades. I used a strict ranking screen for the full wallet universe, then a wider triage screen to find candidate rows for manual review.</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production results.</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78.2c.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116x prior median size, early production-result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Candidate Detail</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150"/>
        <w:gridCol w:w="2300"/>
        <w:gridCol w:w="27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7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Insider-style read</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Kevindoto
0xcd71fd...0d127</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paired ranking view that points to platform, label, or distributor data.</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AllYourMoniesAreBelongToMe
0x856484...84b2e</w:t>
            </w:r>
          </w:p>
        </w:tc>
        <w:tc>
          <w:tcPr>
            <w:tcW w:type="dxa" w:w="31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7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sales-threshold bet far above the wallet's normal trade size.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cookiejar
0x614ef9...4f1b</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contestant 151-175 wins</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$5.8k YES at 78.2c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production-result market where the answer may have been known before airing.</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charts mark each wallet's entry window. In all four markets, the contract later moved against the wallet before closing near 1.00 on the side they bought.</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00375" cy="1295400"/>
                          </a:xfrm>
                          <a:prstGeom prst="rect">
                            <a:avLst/>
                          </a:prstGeom>
                        </pic:spPr>
                      </pic:pic>
                    </a:graphicData>
                  </a:graphic>
                </wp:inline>
              </w:drawing>
            </w:r>
          </w:p>
        </w:tc>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00375" cy="1295400"/>
                          </a:xfrm>
                          <a:prstGeom prst="rect">
                            <a:avLst/>
                          </a:prstGeom>
                        </pic:spPr>
                      </pic:pic>
                    </a:graphicData>
                  </a:graphic>
                </wp:inline>
              </w:drawing>
            </w:r>
          </w:p>
        </w:tc>
      </w:tr>
      <w:tr>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1295400"/>
                          </a:xfrm>
                          <a:prstGeom prst="rect">
                            <a:avLst/>
                          </a:prstGeom>
                        </pic:spPr>
                      </pic:pic>
                    </a:graphicData>
                  </a:graphic>
                </wp:inline>
              </w:drawing>
            </w:r>
          </w:p>
        </w:tc>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295400"/>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800"/>
        <w:gridCol w:w="1900"/>
        <w:gridCol w:w="2920"/>
      </w:tblGrid>
      <w:tr>
        <w:trPr>
          <w:tblHeader/>
        </w:trPr>
        <w:tc>
          <w:tcPr>
            <w:tcW w:type="dxa" w:w="2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4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18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1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Last pre-resolution</w:t>
            </w:r>
          </w:p>
        </w:tc>
        <w:tc>
          <w:tcPr>
            <w:tcW w:type="dxa" w:w="29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2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4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45.3c</w:t>
            </w:r>
          </w:p>
        </w:tc>
        <w:tc>
          <w:tcPr>
            <w:tcW w:type="dxa" w:w="18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11.2c</w:t>
            </w:r>
          </w:p>
        </w:tc>
        <w:tc>
          <w:tcPr>
            <w:tcW w:type="dxa" w:w="1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99.9c</w:t>
            </w:r>
          </w:p>
        </w:tc>
        <w:tc>
          <w:tcPr>
            <w:tcW w:type="dxa" w:w="29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2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4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40.9c</w:t>
            </w:r>
          </w:p>
        </w:tc>
        <w:tc>
          <w:tcPr>
            <w:tcW w:type="dxa" w:w="18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11.0c</w:t>
            </w:r>
          </w:p>
        </w:tc>
        <w:tc>
          <w:tcPr>
            <w:tcW w:type="dxa" w:w="1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99.9c</w:t>
            </w:r>
          </w:p>
        </w:tc>
        <w:tc>
          <w:tcPr>
            <w:tcW w:type="dxa" w:w="29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2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4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71.6c</w:t>
            </w:r>
          </w:p>
        </w:tc>
        <w:tc>
          <w:tcPr>
            <w:tcW w:type="dxa" w:w="18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49.7c</w:t>
            </w:r>
          </w:p>
        </w:tc>
        <w:tc>
          <w:tcPr>
            <w:tcW w:type="dxa" w:w="1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99.9c</w:t>
            </w:r>
          </w:p>
        </w:tc>
        <w:tc>
          <w:tcPr>
            <w:tcW w:type="dxa" w:w="29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2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151-175</w:t>
            </w:r>
          </w:p>
        </w:tc>
        <w:tc>
          <w:tcPr>
            <w:tcW w:type="dxa" w:w="14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78.2c</w:t>
            </w:r>
          </w:p>
        </w:tc>
        <w:tc>
          <w:tcPr>
            <w:tcW w:type="dxa" w:w="18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50.0c</w:t>
            </w:r>
          </w:p>
        </w:tc>
        <w:tc>
          <w:tcPr>
            <w:tcW w:type="dxa" w:w="1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99.9c</w:t>
            </w:r>
          </w:p>
        </w:tc>
        <w:tc>
          <w:tcPr>
            <w:tcW w:type="dxa" w:w="29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$3,000 to $5,000 notional range is not too low for this assignment. A pure whale filter would miss quieter insider-style behavior. The more useful signal is the bundle: knowable-by-few market, non-obvious price, unusual wallet behavior, and price action that later confirms the position.</w:t>
      </w:r>
    </w:p>
    <w:p>
      <w:pPr>
        <w:spacing w:after="90" w:before="0" w:line="252"/>
      </w:pPr>
      <w:r>
        <w:rPr>
          <w:rFonts w:ascii="Arial" w:cs="Arial" w:eastAsia="Arial" w:hAnsi="Arial"/>
          <w:b w:val="false"/>
          <w:bCs w:val="false"/>
          <w:i w:val="false"/>
          <w:iCs w:val="false"/>
          <w:color w:val="17201C"/>
          <w:sz w:val="19"/>
          <w:szCs w:val="19"/>
        </w:rPr>
        <w:t xml:space="preserve">Timing depends on the market. A production-result trade can be suspicious weeks before resolution. A streaming-rank trade can cluster closer to resolution if the edge comes from late platform or label data.</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Submission Methodology Appendix</w:t>
      </w:r>
    </w:p>
    <w:p>
      <w:pPr>
        <w:spacing w:after="90" w:before="0" w:line="252"/>
      </w:pPr>
      <w:r>
        <w:rPr>
          <w:rFonts w:ascii="Arial" w:cs="Arial" w:eastAsia="Arial" w:hAnsi="Arial"/>
          <w:b w:val="false"/>
          <w:bCs w:val="false"/>
          <w:i w:val="false"/>
          <w:iCs w:val="false"/>
          <w:color w:val="17201C"/>
          <w:sz w:val="19"/>
          <w:szCs w:val="19"/>
        </w:rPr>
        <w:t xml:space="preserve">This appendix maps the memo to the four requested tasks so the document can stand on its own without sharing the full GitHub repository.</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200"/>
        <w:gridCol w:w="5700"/>
        <w:gridCol w:w="2820"/>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Assignment task</w:t>
            </w:r>
          </w:p>
        </w:tc>
        <w:tc>
          <w:tcPr>
            <w:tcW w:type="dxa" w:w="5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 did</w:t>
            </w:r>
          </w:p>
        </w:tc>
        <w:tc>
          <w:tcPr>
            <w:tcW w:type="dxa" w:w="28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Result</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 Data collection</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Public Polymarket markets, trades, wallet stats, and refreshed trade API data for selected contracts.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154 markets, 205,362 trades, 44,607 wallets.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 Heuristic design</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Explainable screen: access point, non-obvious price, wallet behavior, wash/noise filter, contract movement.</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 black-box score in the memo.</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 Application to traders</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Screened wallet-market clusters, then manually reviewed the strongest rows.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Three wallets, four positions.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Ranking and methodology</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Priority is qualitative and auditable: paired Spotify view, size anomaly, production-access logic.</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Support files available on request.</w:t>
            </w:r>
          </w:p>
        </w:tc>
      </w:tr>
    </w:tbl>
    <w:p>
      <w:pPr>
        <w:spacing w:after="0" w:before="0" w:line="252"/>
      </w:pPr>
      <w:r>
        <w:rPr>
          <w:rFonts w:ascii="Arial" w:cs="Arial" w:eastAsia="Arial" w:hAnsi="Arial"/>
          <w:b w:val="false"/>
          <w:bCs w:val="false"/>
          <w:i w:val="false"/>
          <w:iCs w:val="false"/>
          <w:color w:val="17201C"/>
          <w:sz w:val="19"/>
          <w:szCs w:val="19"/>
        </w:rPr>
        <w:t xml:space="preserve">If supporting files are requested, send the small artifact package rather than the full working repository. The support package contains the reviewed market set, candidate lead queue, contract movement outputs, chart images, and reproduction scripts.</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124263f4cc9c7fe30c7de0f70db9152fe77d886.undefined"/><Relationship Id="rId8" Type="http://schemas.openxmlformats.org/officeDocument/2006/relationships/image" Target="media/41f63c5271c07fb4b59e89dea377d65f535e0a1a.undefined"/><Relationship Id="rId9" Type="http://schemas.openxmlformats.org/officeDocument/2006/relationships/image" Target="media/e4f664573b427cbac07f191cb171c20b200b80a9.undefined"/><Relationship Id="rId10" Type="http://schemas.openxmlformats.org/officeDocument/2006/relationships/image" Target="media/adfd5233ac35c14975f60ab29a33ddbb47c1df26.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2026-05-28T23:24:00.726Z</dcterms:created>
  <dcterms:modified xsi:type="dcterms:W3CDTF">2026-05-28T23:24:00.726Z</dcterms:modified>
</cp:coreProperties>
</file>

<file path=docProps/custom.xml><?xml version="1.0" encoding="utf-8"?>
<Properties xmlns="http://schemas.openxmlformats.org/officeDocument/2006/custom-properties" xmlns:vt="http://schemas.openxmlformats.org/officeDocument/2006/docPropsVTypes"/>
</file>