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b/>
          <w:bCs/>
          <w:color w:val="6D28D9"/>
          <w:sz w:val="56"/>
          <w:szCs w:val="56"/>
        </w:rPr>
        <w:t xml:space="preserve">VOLIA</w:t>
      </w:r>
    </w:p>
    <w:p>
      <w:pPr>
        <w:spacing w:after="600" w:before="80"/>
        <w:jc w:val="center"/>
      </w:pPr>
      <w:r>
        <w:rPr>
          <w:color w:val="555555"/>
          <w:sz w:val="22"/>
          <w:szCs w:val="22"/>
        </w:rPr>
        <w:t xml:space="preserve">Suite de growth B2B — Made in France</w:t>
      </w:r>
    </w:p>
    <w:p>
      <w:pPr>
        <w:spacing w:after="0" w:before="400"/>
        <w:jc w:val="center"/>
      </w:pPr>
      <w:r>
        <w:rPr>
          <w:b/>
          <w:bCs/>
          <w:sz w:val="40"/>
          <w:szCs w:val="40"/>
        </w:rPr>
        <w:t xml:space="preserve">CONTRAT D'APPORTEUR D'AFFAIRES</w:t>
      </w:r>
    </w:p>
    <w:p>
      <w:pPr>
        <w:spacing w:after="800" w:before="120"/>
        <w:jc w:val="center"/>
      </w:pPr>
      <w:r>
        <w:rPr>
          <w:color w:val="555555"/>
          <w:sz w:val="24"/>
          <w:szCs w:val="24"/>
        </w:rPr>
        <w:t xml:space="preserve">Programme d'affiliation Volia</w:t>
      </w:r>
    </w:p>
    <w:p>
      <w:pPr>
        <w:spacing w:after="0" w:before="200"/>
        <w:jc w:val="center"/>
      </w:pPr>
      <w:r>
        <w:rPr>
          <w:color w:val="555555"/>
          <w:sz w:val="20"/>
          <w:szCs w:val="20"/>
        </w:rPr>
        <w:t xml:space="preserve">Version 1.0</w:t>
      </w:r>
    </w:p>
    <w:p>
      <w:pPr>
        <w:spacing w:after="0" w:before="40"/>
        <w:jc w:val="center"/>
      </w:pPr>
      <w:r>
        <w:rPr>
          <w:color w:val="555555"/>
          <w:sz w:val="20"/>
          <w:szCs w:val="20"/>
        </w:rPr>
        <w:t xml:space="preserve">Entre Volia et l'Apporteur désigné aux présentes</w:t>
      </w:r>
    </w:p>
    <w:p>
      <w:pPr>
        <w:spacing w:after="0" w:before="60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2"/>
              <w:bottom w:val="single" w:color="6D28D9" w:sz="4"/>
              <w:right w:val="single" w:color="6D28D9" w:sz="4"/>
            </w:tcBorders>
            <w:shd w:fill="F3F0FF" w:val="clear"/>
            <w:tcMar>
              <w:top w:type="dxa" w:w="120"/>
              <w:left w:type="dxa" w:w="160"/>
              <w:bottom w:type="dxa" w:w="120"/>
              <w:right w:type="dxa" w:w="160"/>
            </w:tcMar>
          </w:tcPr>
          <w:p>
            <w:pPr>
              <w:spacing w:after="80" w:line="264"/>
            </w:pPr>
            <w:r>
              <w:rPr>
                <w:b/>
                <w:bCs/>
                <w:color w:val="6D28D9"/>
                <w:sz w:val="22"/>
                <w:szCs w:val="22"/>
              </w:rPr>
              <w:t xml:space="preserve">⚠️  Avertissement — modèle de travail</w:t>
            </w:r>
          </w:p>
          <w:p>
            <w:pPr>
              <w:spacing w:after="80" w:line="264"/>
            </w:pPr>
            <w:r>
              <w:rPr>
                <w:color w:val="555555"/>
                <w:sz w:val="20"/>
                <w:szCs w:val="20"/>
              </w:rPr>
              <w:t xml:space="preserve">Ce document est un modèle destiné à être personnalisé puis validé par un professionnel du droit et de la comptabilité avant toute signature. Il ne constitue pas un conseil juridique ou fiscal personnalisé.</w:t>
            </w:r>
          </w:p>
          <w:p>
            <w:pPr>
              <w:spacing w:after="0" w:line="264"/>
            </w:pPr>
            <w:r>
              <w:rPr>
                <w:color w:val="555555"/>
                <w:sz w:val="20"/>
                <w:szCs w:val="20"/>
              </w:rPr>
              <w:t xml:space="preserve">Les champs entre crochets [ … ] concernent l'identité de l'Apporteur et sont complétés au moment de la signature. Chaque Apporteur doit disposer d'un statut l'autorisant à facturer (micro-entrepreneur, indépendant ou société).</w:t>
            </w:r>
          </w:p>
        </w:tc>
      </w:tr>
    </w:tbl>
    <w:p>
      <w:pPr>
        <w:spacing w:after="80"/>
      </w:pPr>
      <w:r>
        <w:t xml:space="preserve"/>
      </w:r>
    </w:p>
    <w:p>
      <w:pPr>
        <w:pStyle w:val="Heading1"/>
      </w:pPr>
      <w:r>
        <w:t xml:space="preserve">Sommaire</w:t>
      </w:r>
    </w:p>
    <w:sdt>
      <w:sdtPr>
        <w:alias w:val="Sommaire"/>
      </w:sdtPr>
      <w:sdtContent>
        <w:p>
          <w:r>
            <w:fldChar w:fldCharType="begin" w:dirty="true"/>
            <w:instrText xml:space="preserve">TOC \h \o "1-1"</w:instrText>
            <w:fldChar w:fldCharType="separate"/>
          </w:r>
        </w:p>
        <w:p>
          <w:r>
            <w:fldChar w:fldCharType="end"/>
          </w:r>
        </w:p>
      </w:sdtContent>
    </w:sdt>
    <w:p>
      <w:r>
        <w:br w:type="page"/>
      </w:r>
    </w:p>
    <w:p>
      <w:pPr>
        <w:pStyle w:val="Heading1"/>
      </w:pPr>
      <w:r>
        <w:t xml:space="preserve">Entre les soussignés</w:t>
      </w:r>
    </w:p>
    <w:p>
      <w:pPr>
        <w:spacing w:after="120" w:line="276"/>
        <w:jc w:val="both"/>
      </w:pPr>
      <w:r>
        <w:rPr>
          <w:b/>
          <w:bCs/>
        </w:rPr>
        <w:t xml:space="preserve">M. Anthony MALARTRE</w:t>
      </w:r>
      <w:r>
        <w:t xml:space="preserve">, entrepreneur individuel relevant du régime de la micro-entreprise (micro-entrepreneur), exerçant sous le nom commercial « Volia », dont le siège est situé 20 boulevard Roux, 13009 Marseille, immatriculé sous le numéro SIREN 879 725 851 (SIRET 879 725 851 00023), TVA non applicable — article 293 B du Code général des impôts,</w:t>
      </w:r>
    </w:p>
    <w:p>
      <w:pPr>
        <w:spacing w:after="120" w:line="276"/>
        <w:jc w:val="both"/>
      </w:pPr>
      <w:r>
        <w:t xml:space="preserve">exploitant le service en ligne « Volia » accessible à l'adresse </w:t>
      </w:r>
      <w:r>
        <w:rPr>
          <w:b/>
          <w:bCs/>
        </w:rPr>
        <w:t xml:space="preserve">https://volia.fr</w:t>
      </w:r>
      <w:r>
        <w:t xml:space="preserve"> (contact : contact@volia.fr),</w:t>
      </w:r>
    </w:p>
    <w:p>
      <w:pPr>
        <w:spacing w:after="120" w:line="276"/>
        <w:jc w:val="both"/>
      </w:pPr>
      <w:r>
        <w:rPr>
          <w:i/>
          <w:iCs/>
        </w:rPr>
        <w:t xml:space="preserve">ci-après dénommée « </w:t>
      </w:r>
      <w:r>
        <w:rPr>
          <w:b/>
          <w:bCs/>
        </w:rPr>
        <w:t xml:space="preserve">Volia</w:t>
      </w:r>
      <w:r>
        <w:rPr>
          <w:i/>
          <w:iCs/>
        </w:rPr>
        <w:t xml:space="preserve"> » ou la « Société »,</w:t>
      </w:r>
    </w:p>
    <w:p>
      <w:pPr>
        <w:spacing w:after="120" w:line="276"/>
        <w:jc w:val="both"/>
      </w:pPr>
      <w:r>
        <w:rPr>
          <w:b/>
          <w:bCs/>
        </w:rPr>
        <w:t xml:space="preserve">D'une part,</w:t>
      </w:r>
    </w:p>
    <w:p>
      <w:pPr>
        <w:spacing w:after="80"/>
      </w:pPr>
      <w:r>
        <w:t xml:space="preserve"/>
      </w:r>
    </w:p>
    <w:p>
      <w:pPr>
        <w:spacing w:after="120" w:line="276"/>
        <w:jc w:val="both"/>
      </w:pPr>
      <w:r>
        <w:t xml:space="preserve">ET</w:t>
      </w:r>
    </w:p>
    <w:p>
      <w:pPr>
        <w:spacing w:after="80"/>
      </w:pPr>
      <w:r>
        <w:t xml:space="preserve"/>
      </w:r>
    </w:p>
    <w:p>
      <w:pPr>
        <w:spacing w:after="120" w:line="276"/>
        <w:jc w:val="both"/>
      </w:pPr>
      <w:r>
        <w:t xml:space="preserve">[Mme / M.] </w:t>
      </w:r>
      <w:r>
        <w:rPr>
          <w:b/>
          <w:bCs/>
        </w:rPr>
        <w:t xml:space="preserve">[Prénom NOM]</w:t>
      </w:r>
      <w:r>
        <w:t xml:space="preserve">, [exerçant en qualité de travailleur indépendant / micro-entrepreneur / sous la forme [société]], domicilié(e) / dont le siège est situé [adresse complète], [immatriculé(e) sous le numéro SIREN [……] / n° de TVA intracommunautaire [……] le cas échéant],</w:t>
      </w:r>
    </w:p>
    <w:p>
      <w:pPr>
        <w:spacing w:after="120" w:line="276"/>
        <w:jc w:val="both"/>
      </w:pPr>
      <w:r>
        <w:rPr>
          <w:i/>
          <w:iCs/>
        </w:rPr>
        <w:t xml:space="preserve">ci-après dénommé(e) l'« </w:t>
      </w:r>
      <w:r>
        <w:rPr>
          <w:b/>
          <w:bCs/>
        </w:rPr>
        <w:t xml:space="preserve">Apporteur</w:t>
      </w:r>
      <w:r>
        <w:rPr>
          <w:i/>
          <w:iCs/>
        </w:rPr>
        <w:t xml:space="preserve"> » ou l'« Apporteur d'affaires »,</w:t>
      </w:r>
    </w:p>
    <w:p>
      <w:pPr>
        <w:spacing w:after="120" w:line="276"/>
        <w:jc w:val="both"/>
      </w:pPr>
      <w:r>
        <w:rPr>
          <w:b/>
          <w:bCs/>
        </w:rPr>
        <w:t xml:space="preserve">D'autre part,</w:t>
      </w:r>
    </w:p>
    <w:p>
      <w:pPr>
        <w:spacing w:after="80"/>
      </w:pPr>
      <w:r>
        <w:t xml:space="preserve"/>
      </w:r>
    </w:p>
    <w:p>
      <w:pPr>
        <w:spacing w:after="120" w:line="276"/>
        <w:jc w:val="both"/>
      </w:pPr>
      <w:r>
        <w:t xml:space="preserve">Ci-après désignées ensemble les « Parties » et individuellement une « Partie ».</w:t>
      </w:r>
    </w:p>
    <w:p>
      <w:pPr>
        <w:pStyle w:val="Heading1"/>
      </w:pPr>
      <w:r>
        <w:t xml:space="preserve">Préambule</w:t>
      </w:r>
    </w:p>
    <w:p>
      <w:pPr>
        <w:spacing w:after="120" w:line="276"/>
        <w:jc w:val="both"/>
      </w:pPr>
      <w:r>
        <w:t xml:space="preserve">Volia édite et exploite une suite logicielle de prospection et de marketing B2B (génération de prospects, campagnes e-mail, CRM et formulaires), commercialisée sous forme d'abonnements (SaaS).</w:t>
      </w:r>
    </w:p>
    <w:p>
      <w:pPr>
        <w:spacing w:after="120" w:line="276"/>
        <w:jc w:val="both"/>
      </w:pPr>
      <w:r>
        <w:t xml:space="preserve">L'Apporteur dispose d'un réseau professionnel et/ou d'une audience susceptible d'être intéressée par les services de Volia. Il souhaite recommander ces services et être rémunéré pour les clients qu'il apporte effectivement à la Société.</w:t>
      </w:r>
    </w:p>
    <w:p>
      <w:pPr>
        <w:spacing w:after="120" w:line="276"/>
        <w:jc w:val="both"/>
      </w:pPr>
      <w:r>
        <w:t xml:space="preserve">C'est dans ce contexte que les Parties se sont rapprochées et sont convenues de ce qui suit, étant précisé que l'Apporteur agit en toute indépendance et que le présent contrat ne crée entre les Parties aucun lien de subordination, de mandat, de société ou de franchise.</w:t>
      </w:r>
    </w:p>
    <w:p>
      <w:pPr>
        <w:pStyle w:val="Heading1"/>
      </w:pPr>
      <w:r>
        <w:t xml:space="preserve">Article 1 — Définitions</w:t>
      </w:r>
    </w:p>
    <w:p>
      <w:pPr>
        <w:pStyle w:val="ListParagraph"/>
        <w:numPr>
          <w:ilvl w:val="0"/>
          <w:numId w:val="2"/>
        </w:numPr>
        <w:spacing w:after="60" w:line="276"/>
      </w:pPr>
      <w:r>
        <w:rPr>
          <w:b/>
          <w:bCs/>
        </w:rPr>
        <w:t xml:space="preserve">Lien d'affiliation : </w:t>
      </w:r>
      <w:r>
        <w:t xml:space="preserve">lien unique attribué à l'Apporteur (de la forme https://volia.fr/?aff=CODE) permettant d'identifier les visiteurs qu'il oriente vers le service.</w:t>
      </w:r>
    </w:p>
    <w:p>
      <w:pPr>
        <w:pStyle w:val="ListParagraph"/>
        <w:numPr>
          <w:ilvl w:val="0"/>
          <w:numId w:val="2"/>
        </w:numPr>
        <w:spacing w:after="60" w:line="276"/>
      </w:pPr>
      <w:r>
        <w:rPr>
          <w:b/>
          <w:bCs/>
        </w:rPr>
        <w:t xml:space="preserve">Code d'affiliation : </w:t>
      </w:r>
      <w:r>
        <w:t xml:space="preserve">identifiant alphanumérique unique rattaché à l'Apporteur.</w:t>
      </w:r>
    </w:p>
    <w:p>
      <w:pPr>
        <w:pStyle w:val="ListParagraph"/>
        <w:numPr>
          <w:ilvl w:val="0"/>
          <w:numId w:val="2"/>
        </w:numPr>
        <w:spacing w:after="60" w:line="276"/>
      </w:pPr>
      <w:r>
        <w:rPr>
          <w:b/>
          <w:bCs/>
        </w:rPr>
        <w:t xml:space="preserve">Client Apporté : </w:t>
      </w:r>
      <w:r>
        <w:t xml:space="preserve">toute personne physique ou morale qui, après avoir suivi le Lien d'affiliation, crée un compte et souscrit un abonnement payant à Volia dans les conditions de l'Article 5.</w:t>
      </w:r>
    </w:p>
    <w:p>
      <w:pPr>
        <w:pStyle w:val="ListParagraph"/>
        <w:numPr>
          <w:ilvl w:val="0"/>
          <w:numId w:val="2"/>
        </w:numPr>
        <w:spacing w:after="60" w:line="276"/>
      </w:pPr>
      <w:r>
        <w:rPr>
          <w:b/>
          <w:bCs/>
        </w:rPr>
        <w:t xml:space="preserve">Fenêtre d'attribution : </w:t>
      </w:r>
      <w:r>
        <w:t xml:space="preserve">durée de quatre-vingt-dix (90) jours pendant laquelle la visite issue du Lien d'affiliation reste rattachée à l'Apporteur, au moyen d'un cookie déposé lors du premier clic (« premier contact »).</w:t>
      </w:r>
    </w:p>
    <w:p>
      <w:pPr>
        <w:pStyle w:val="ListParagraph"/>
        <w:numPr>
          <w:ilvl w:val="0"/>
          <w:numId w:val="2"/>
        </w:numPr>
        <w:spacing w:after="60" w:line="276"/>
      </w:pPr>
      <w:r>
        <w:rPr>
          <w:b/>
          <w:bCs/>
        </w:rPr>
        <w:t xml:space="preserve">Montant Net Encaissé : </w:t>
      </w:r>
      <w:r>
        <w:t xml:space="preserve">montant hors taxes effectivement encaissé par Volia au titre de l'abonnement d'un Client Apporté, déduction faite des remises, avoirs, impayés, rétrofacturations (chargebacks) et remboursements.</w:t>
      </w:r>
    </w:p>
    <w:p>
      <w:pPr>
        <w:pStyle w:val="ListParagraph"/>
        <w:numPr>
          <w:ilvl w:val="0"/>
          <w:numId w:val="2"/>
        </w:numPr>
        <w:spacing w:after="60" w:line="276"/>
      </w:pPr>
      <w:r>
        <w:rPr>
          <w:b/>
          <w:bCs/>
        </w:rPr>
        <w:t xml:space="preserve">Commission : </w:t>
      </w:r>
      <w:r>
        <w:t xml:space="preserve">somme due à l'Apporteur, calculée conformément à l'Article 6.</w:t>
      </w:r>
    </w:p>
    <w:p>
      <w:pPr>
        <w:pStyle w:val="ListParagraph"/>
        <w:numPr>
          <w:ilvl w:val="0"/>
          <w:numId w:val="2"/>
        </w:numPr>
        <w:spacing w:after="60" w:line="276"/>
      </w:pPr>
      <w:r>
        <w:rPr>
          <w:b/>
          <w:bCs/>
        </w:rPr>
        <w:t xml:space="preserve">Tableau de bord : </w:t>
      </w:r>
      <w:r>
        <w:t xml:space="preserve">interface mise à disposition de l'Apporteur (https://volia.fr/affiliation/suivi) lui permettant de suivre ses Clients Apportés et ses Commissions.</w:t>
      </w:r>
    </w:p>
    <w:p>
      <w:pPr>
        <w:pStyle w:val="Heading1"/>
      </w:pPr>
      <w:r>
        <w:t xml:space="preserve">Article 2 — Objet du contrat</w:t>
      </w:r>
    </w:p>
    <w:p>
      <w:pPr>
        <w:spacing w:after="120" w:line="276"/>
        <w:jc w:val="both"/>
      </w:pPr>
      <w:r>
        <w:t xml:space="preserve">Le présent contrat a pour objet de définir les conditions dans lesquelles l'Apporteur recommande les services de Volia et perçoit, en contrepartie, une Commission sur les Clients Apportés, ainsi que les droits et obligations réciproques des Parties.</w:t>
      </w:r>
    </w:p>
    <w:p>
      <w:pPr>
        <w:spacing w:after="120" w:line="276"/>
        <w:jc w:val="both"/>
      </w:pPr>
      <w:r>
        <w:t xml:space="preserve">L'Apporteur a un rôle de mise en relation et de recommandation. Il ne dispose d'aucun pouvoir de représentation, de négociation ou d'engagement au nom et pour le compte de Volia. La décision de contracter, les conditions tarifaires et la relation contractuelle avec le Client Apporté relèvent exclusivement de Volia.</w:t>
      </w:r>
    </w:p>
    <w:p>
      <w:pPr>
        <w:pStyle w:val="Heading1"/>
      </w:pPr>
      <w:r>
        <w:t xml:space="preserve">Article 3 — Statut et indépendance de l'Apporteur</w:t>
      </w:r>
    </w:p>
    <w:p>
      <w:pPr>
        <w:spacing w:after="120" w:line="276"/>
        <w:jc w:val="both"/>
      </w:pPr>
      <w:r>
        <w:t xml:space="preserve">L'Apporteur exerce son activité en toute indépendance, avec ses propres moyens et selon sa propre organisation. Le présent contrat n'emporte aucun lien de subordination et ne saurait être requalifié en contrat de travail.</w:t>
      </w:r>
    </w:p>
    <w:p>
      <w:pPr>
        <w:pStyle w:val="ListParagraph"/>
        <w:numPr>
          <w:ilvl w:val="0"/>
          <w:numId w:val="2"/>
        </w:numPr>
        <w:spacing w:after="60" w:line="276"/>
      </w:pPr>
      <w:r>
        <w:t xml:space="preserve">L'Apporteur déclare disposer d'un statut juridique l'autorisant à émettre des factures (notamment micro-entrepreneur, travailleur indépendant ou société) et à percevoir les Commissions prévues aux présentes.</w:t>
      </w:r>
    </w:p>
    <w:p>
      <w:pPr>
        <w:pStyle w:val="ListParagraph"/>
        <w:numPr>
          <w:ilvl w:val="0"/>
          <w:numId w:val="2"/>
        </w:numPr>
        <w:spacing w:after="60" w:line="276"/>
      </w:pPr>
      <w:r>
        <w:t xml:space="preserve">L'Apporteur fait son affaire personnelle de l'ensemble de ses obligations légales, sociales, fiscales et comptables (déclarations, cotisations, TVA le cas échéant).</w:t>
      </w:r>
    </w:p>
    <w:p>
      <w:pPr>
        <w:pStyle w:val="ListParagraph"/>
        <w:numPr>
          <w:ilvl w:val="0"/>
          <w:numId w:val="2"/>
        </w:numPr>
        <w:spacing w:after="60" w:line="276"/>
      </w:pPr>
      <w:r>
        <w:t xml:space="preserve">L'Apporteur n'est ni mandataire, ni agent commercial, ni salarié de Volia. Conformément à l'Article 2, il n'a le pouvoir ni de négocier ni de conclure de contrats au nom de Volia et se borne à une mise en relation : les Parties excluent en conséquence l'application du statut d'agent commercial (articles L.134-1 et suivants du Code de commerce).</w:t>
      </w:r>
    </w:p>
    <w:p>
      <w:pPr>
        <w:pStyle w:val="Heading1"/>
      </w:pPr>
      <w:r>
        <w:t xml:space="preserve">Article 4 — Mission de l'Apporteur</w:t>
      </w:r>
    </w:p>
    <w:p>
      <w:pPr>
        <w:spacing w:after="120" w:line="276"/>
        <w:jc w:val="both"/>
      </w:pPr>
      <w:r>
        <w:t xml:space="preserve">L'Apporteur s'engage à promouvoir loyalement les services de Volia auprès de son réseau et de son audience, au moyen de son Lien d'affiliation.</w:t>
      </w:r>
    </w:p>
    <w:p>
      <w:pPr>
        <w:pStyle w:val="ListParagraph"/>
        <w:numPr>
          <w:ilvl w:val="0"/>
          <w:numId w:val="2"/>
        </w:numPr>
        <w:spacing w:after="60" w:line="276"/>
      </w:pPr>
      <w:r>
        <w:t xml:space="preserve">Présenter Volia de manière exacte, sans promesse de résultat ni allégation trompeuse, et conformément aux informations officielles publiées par la Société.</w:t>
      </w:r>
    </w:p>
    <w:p>
      <w:pPr>
        <w:pStyle w:val="ListParagraph"/>
        <w:numPr>
          <w:ilvl w:val="0"/>
          <w:numId w:val="2"/>
        </w:numPr>
        <w:spacing w:after="60" w:line="276"/>
      </w:pPr>
      <w:r>
        <w:t xml:space="preserve">Utiliser exclusivement le Lien d'affiliation fourni pour permettre l'attribution des Clients Apportés.</w:t>
      </w:r>
    </w:p>
    <w:p>
      <w:pPr>
        <w:pStyle w:val="ListParagraph"/>
        <w:numPr>
          <w:ilvl w:val="0"/>
          <w:numId w:val="2"/>
        </w:numPr>
        <w:spacing w:after="60" w:line="276"/>
      </w:pPr>
      <w:r>
        <w:t xml:space="preserve">Respecter l'image de marque de Volia et s'abstenir de tout propos dénigrant à l'égard de tiers ou de concurrents.</w:t>
      </w:r>
    </w:p>
    <w:p>
      <w:pPr>
        <w:pStyle w:val="ListParagraph"/>
        <w:numPr>
          <w:ilvl w:val="0"/>
          <w:numId w:val="2"/>
        </w:numPr>
        <w:spacing w:after="60" w:line="276"/>
      </w:pPr>
      <w:r>
        <w:t xml:space="preserve">S'abstenir de toute pratique de promotion non sollicitée (spam), de référencement payant sur la marque « Volia », de cashback, ou d'incitation déloyale, sauf accord écrit préalable de Volia (voir Article 8).</w:t>
      </w:r>
    </w:p>
    <w:p>
      <w:pPr>
        <w:pStyle w:val="Heading1"/>
      </w:pPr>
      <w:r>
        <w:t xml:space="preserve">Article 5 — Attribution d'un Client Apporté</w:t>
      </w:r>
    </w:p>
    <w:p>
      <w:pPr>
        <w:spacing w:after="120" w:line="276"/>
        <w:jc w:val="both"/>
      </w:pPr>
      <w:r>
        <w:t xml:space="preserve">Un Client est réputé Apporté par l'Apporteur lorsque les conditions cumulatives suivantes sont réunies :</w:t>
      </w:r>
    </w:p>
    <w:p>
      <w:pPr>
        <w:pStyle w:val="ListParagraph"/>
        <w:numPr>
          <w:ilvl w:val="0"/>
          <w:numId w:val="2"/>
        </w:numPr>
        <w:spacing w:after="60" w:line="276"/>
      </w:pPr>
      <w:r>
        <w:t xml:space="preserve">le Client a accédé au site de Volia via le Lien d'affiliation de l'Apporteur ;</w:t>
      </w:r>
    </w:p>
    <w:p>
      <w:pPr>
        <w:pStyle w:val="ListParagraph"/>
        <w:numPr>
          <w:ilvl w:val="0"/>
          <w:numId w:val="2"/>
        </w:numPr>
        <w:spacing w:after="60" w:line="276"/>
      </w:pPr>
      <w:r>
        <w:t xml:space="preserve">la souscription d'un abonnement payant intervient pendant la Fenêtre d'attribution de 90 jours suivant le premier clic ;</w:t>
      </w:r>
    </w:p>
    <w:p>
      <w:pPr>
        <w:pStyle w:val="ListParagraph"/>
        <w:numPr>
          <w:ilvl w:val="0"/>
          <w:numId w:val="2"/>
        </w:numPr>
        <w:spacing w:after="60" w:line="276"/>
      </w:pPr>
      <w:r>
        <w:t xml:space="preserve">le rattachement résulte du premier contact (« first-touch ») : en cas de pluralité de liens, l'attribution revient au premier Apporteur ayant orienté le Client, sauf preuve contraire issue des systèmes de Volia ;</w:t>
      </w:r>
    </w:p>
    <w:p>
      <w:pPr>
        <w:pStyle w:val="ListParagraph"/>
        <w:numPr>
          <w:ilvl w:val="0"/>
          <w:numId w:val="2"/>
        </w:numPr>
        <w:spacing w:after="60" w:line="276"/>
      </w:pPr>
      <w:r>
        <w:t xml:space="preserve">le paiement du Client est effectivement confirmé (la simple création de compte ou période d'essai gratuite ne suffit pas).</w:t>
      </w:r>
    </w:p>
    <w:p>
      <w:pPr>
        <w:spacing w:after="80"/>
      </w:pPr>
      <w:r>
        <w:t xml:space="preserve"/>
      </w:r>
    </w:p>
    <w:p>
      <w:pPr>
        <w:spacing w:after="120" w:line="276"/>
        <w:jc w:val="both"/>
      </w:pPr>
      <w:r>
        <w:rPr>
          <w:b/>
          <w:bCs/>
        </w:rPr>
        <w:t xml:space="preserve">Exclusions. </w:t>
      </w:r>
      <w:r>
        <w:t xml:space="preserve">Ne donnent pas lieu à Commission : l'auto-parrainage (souscription par l'Apporteur lui-même ou une entité qu'il contrôle), les comptes frauduleux ou créés en violation des présentes, et les souscriptions intervenues hors Fenêtre d'attribution. Volia se réserve le droit de refuser ou d'annuler une attribution en cas de fraude avérée ou de contournement du mécanisme d'attribution.</w:t>
      </w:r>
    </w:p>
    <w:p>
      <w:pPr>
        <w:spacing w:after="120" w:line="276"/>
        <w:jc w:val="both"/>
      </w:pPr>
      <w:r>
        <w:t xml:space="preserve">Les données issues des systèmes de Volia (journal des clics, attribution, facturation) font foi entre les Parties pour la détermination des Clients Apportés et des Commissions, sauf erreur manifeste.</w:t>
      </w:r>
    </w:p>
    <w:p>
      <w:pPr>
        <w:pStyle w:val="Heading1"/>
      </w:pPr>
      <w:r>
        <w:t xml:space="preserve">Article 6 — Rémunération (Commission)</w:t>
      </w:r>
    </w:p>
    <w:p>
      <w:pPr>
        <w:spacing w:after="120" w:line="276"/>
        <w:jc w:val="both"/>
      </w:pPr>
      <w:r>
        <w:t xml:space="preserve">En contrepartie de chaque Client Apporté, l'Apporteur perçoit une Commission calculée en pourcentage du Montant Net Encaissé par Volia au titre de l'abonnement de ce Client, selon le barème dégressif suivant :</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tcPr>
          <w:p>
            <w:r>
              <w:rPr>
                <w:b/>
                <w:bCs/>
                <w:color w:val="FFFFFF"/>
                <w:sz w:val="20"/>
                <w:szCs w:val="20"/>
              </w:rPr>
              <w:t xml:space="preserve">Période depuis le 1er paiement du Client</w:t>
            </w:r>
          </w:p>
        </w:tc>
        <w:tc>
          <w:tcPr>
            <w:tcW w:type="dxa" w:w="312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tcPr>
          <w:p>
            <w:r>
              <w:rPr>
                <w:b/>
                <w:bCs/>
                <w:color w:val="FFFFFF"/>
                <w:sz w:val="20"/>
                <w:szCs w:val="20"/>
              </w:rPr>
              <w:t xml:space="preserve">Taux de Commission</w:t>
            </w:r>
          </w:p>
        </w:tc>
        <w:tc>
          <w:tcPr>
            <w:tcW w:type="dxa" w:w="3120"/>
            <w:tcBorders>
              <w:top w:val="single" w:color="CCCCCC" w:sz="1"/>
              <w:left w:val="single" w:color="CCCCCC" w:sz="1"/>
              <w:bottom w:val="single" w:color="CCCCCC" w:sz="1"/>
              <w:right w:val="single" w:color="CCCCCC" w:sz="1"/>
            </w:tcBorders>
            <w:shd w:fill="6D28D9" w:val="clear"/>
            <w:tcMar>
              <w:top w:type="dxa" w:w="80"/>
              <w:left w:type="dxa" w:w="120"/>
              <w:bottom w:type="dxa" w:w="80"/>
              <w:right w:type="dxa" w:w="120"/>
            </w:tcMar>
          </w:tcPr>
          <w:p>
            <w:r>
              <w:rPr>
                <w:b/>
                <w:bCs/>
                <w:color w:val="FFFFFF"/>
                <w:sz w:val="20"/>
                <w:szCs w:val="20"/>
              </w:rPr>
              <w:t xml:space="preserve">Base de calcul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Année 1 (mois 0 à 11)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50 %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Montant Net Encaissé 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Année 2 (mois 12 à 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30 %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Montant Net Encaissé HT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À compter du mois 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color w:val="000000"/>
                <w:sz w:val="20"/>
                <w:szCs w:val="20"/>
              </w:rPr>
              <w:t xml:space="preserve">0 %</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color w:val="000000"/>
                <w:sz w:val="20"/>
                <w:szCs w:val="20"/>
              </w:rPr>
              <w:t xml:space="preserve">—</w:t>
            </w:r>
          </w:p>
        </w:tc>
      </w:tr>
    </w:tbl>
    <w:p>
      <w:pPr>
        <w:spacing w:after="80"/>
      </w:pPr>
      <w:r>
        <w:t xml:space="preserve"/>
      </w:r>
    </w:p>
    <w:p>
      <w:pPr>
        <w:spacing w:after="120" w:line="276"/>
        <w:jc w:val="both"/>
      </w:pPr>
      <w:r>
        <w:rPr>
          <w:b/>
          <w:bCs/>
        </w:rPr>
        <w:t xml:space="preserve">Caractère récurrent. </w:t>
      </w:r>
      <w:r>
        <w:t xml:space="preserve">La Commission est due sur chaque paiement effectif du Client Apporté pendant les périodes ci-dessus (abonnements mensuels comme annuels), tant que le Client reste actif et à jour de ses paiements.</w:t>
      </w:r>
    </w:p>
    <w:p>
      <w:pPr>
        <w:spacing w:after="120" w:line="276"/>
        <w:jc w:val="both"/>
      </w:pPr>
      <w:r>
        <w:rPr>
          <w:b/>
          <w:bCs/>
        </w:rPr>
        <w:t xml:space="preserve">Exemple indicatif. </w:t>
      </w:r>
      <w:r>
        <w:t xml:space="preserve">Pour un Client souscrivant un abonnement à 49 € HT/mois : Commission de 24,50 € par mois facturé en année 1, puis 14,70 € par mois facturé en année 2, puis 0. Cet exemple est fourni à titre purement illustratif et ne constitue aucune garantie de revenu.</w:t>
      </w:r>
    </w:p>
    <w:p>
      <w:pPr>
        <w:spacing w:after="120" w:line="276"/>
        <w:jc w:val="both"/>
      </w:pPr>
      <w:r>
        <w:t xml:space="preserve">Les taux et la durée du barème pourront être modifiés pour l'avenir dans les conditions de l'Article 14. Toute modification est sans effet sur les Commissions déjà acquises.</w:t>
      </w:r>
    </w:p>
    <w:p>
      <w:pPr>
        <w:pStyle w:val="Heading1"/>
      </w:pPr>
      <w:r>
        <w:t xml:space="preserve">Article 7 — Modalités de versement</w:t>
      </w:r>
    </w:p>
    <w:p>
      <w:pPr>
        <w:pStyle w:val="ListParagraph"/>
        <w:numPr>
          <w:ilvl w:val="0"/>
          <w:numId w:val="2"/>
        </w:numPr>
        <w:spacing w:after="60" w:line="276"/>
      </w:pPr>
      <w:r>
        <w:rPr>
          <w:b/>
          <w:bCs/>
        </w:rPr>
        <w:t xml:space="preserve">Acquisition. </w:t>
      </w:r>
      <w:r>
        <w:t xml:space="preserve">Une Commission devient « disponible » à l'expiration d'un délai de trente (30) jours à compter du paiement correspondant du Client, afin de couvrir la fenêtre de remboursement et de rétrofacturation.</w:t>
      </w:r>
    </w:p>
    <w:p>
      <w:pPr>
        <w:pStyle w:val="ListParagraph"/>
        <w:numPr>
          <w:ilvl w:val="0"/>
          <w:numId w:val="2"/>
        </w:numPr>
        <w:spacing w:after="60" w:line="276"/>
      </w:pPr>
      <w:r>
        <w:rPr>
          <w:b/>
          <w:bCs/>
        </w:rPr>
        <w:t xml:space="preserve">Annulation (clawback). </w:t>
      </w:r>
      <w:r>
        <w:t xml:space="preserve">En cas de remboursement, d'impayé, de rétrofacturation ou d'annulation du paiement du Client, la Commission correspondante n'est pas due ; si elle a déjà été versée, elle est déduite des versements suivants ou remboursée par l'Apporteur.</w:t>
      </w:r>
    </w:p>
    <w:p>
      <w:pPr>
        <w:pStyle w:val="ListParagraph"/>
        <w:numPr>
          <w:ilvl w:val="0"/>
          <w:numId w:val="2"/>
        </w:numPr>
        <w:spacing w:after="60" w:line="276"/>
      </w:pPr>
      <w:r>
        <w:rPr>
          <w:b/>
          <w:bCs/>
        </w:rPr>
        <w:t xml:space="preserve">Seuil de versement. </w:t>
      </w:r>
      <w:r>
        <w:t xml:space="preserve">Les Commissions disponibles sont réglées dès lors qu'elles atteignent un seuil minimum de 50 € HT. À défaut d'atteinte du seuil, elles sont reportées.</w:t>
      </w:r>
    </w:p>
    <w:p>
      <w:pPr>
        <w:pStyle w:val="ListParagraph"/>
        <w:numPr>
          <w:ilvl w:val="0"/>
          <w:numId w:val="2"/>
        </w:numPr>
        <w:spacing w:after="60" w:line="276"/>
      </w:pPr>
      <w:r>
        <w:rPr>
          <w:b/>
          <w:bCs/>
        </w:rPr>
        <w:t xml:space="preserve">Facturation. </w:t>
      </w:r>
      <w:r>
        <w:t xml:space="preserve">Le versement intervient sur présentation par l'Apporteur d'une facture conforme correspondant au montant des Commissions disponibles indiqué sur le Tableau de bord. Volia procède au règlement par virement dans un délai de 30 jours suivant la réception de la facture.</w:t>
      </w:r>
    </w:p>
    <w:p>
      <w:pPr>
        <w:pStyle w:val="ListParagraph"/>
        <w:numPr>
          <w:ilvl w:val="0"/>
          <w:numId w:val="2"/>
        </w:numPr>
        <w:spacing w:after="60" w:line="276"/>
      </w:pPr>
      <w:r>
        <w:rPr>
          <w:b/>
          <w:bCs/>
        </w:rPr>
        <w:t xml:space="preserve">TVA. </w:t>
      </w:r>
      <w:r>
        <w:t xml:space="preserve">Les montants de Commission s'entendent hors taxes. La TVA est, le cas échéant, ajoutée et facturée par l'Apporteur selon son régime applicable ; l'Apporteur relevant de la franchise en base porte la mention « TVA non applicable, article 293 B du CGI ».</w:t>
      </w:r>
    </w:p>
    <w:p>
      <w:pPr>
        <w:pStyle w:val="Heading1"/>
      </w:pPr>
      <w:r>
        <w:t xml:space="preserve">Article 8 — Obligations et engagements de l'Apporteur</w:t>
      </w:r>
    </w:p>
    <w:p>
      <w:pPr>
        <w:pStyle w:val="ListParagraph"/>
        <w:numPr>
          <w:ilvl w:val="0"/>
          <w:numId w:val="2"/>
        </w:numPr>
        <w:spacing w:after="60" w:line="276"/>
      </w:pPr>
      <w:r>
        <w:t xml:space="preserve">Respecter l'ensemble des lois et règlements applicables, notamment en matière de prospection, de publicité, de protection des consommateurs et de protection des données personnelles (RGPD).</w:t>
      </w:r>
    </w:p>
    <w:p>
      <w:pPr>
        <w:pStyle w:val="ListParagraph"/>
        <w:numPr>
          <w:ilvl w:val="0"/>
          <w:numId w:val="2"/>
        </w:numPr>
        <w:spacing w:after="60" w:line="276"/>
      </w:pPr>
      <w:r>
        <w:t xml:space="preserve">Ne pas recourir au spam ni à des envois non sollicités, ne pas usurper l'identité de Volia, ne pas créer de sites ou de comptes laissant croire à un service officiel de Volia.</w:t>
      </w:r>
    </w:p>
    <w:p>
      <w:pPr>
        <w:pStyle w:val="ListParagraph"/>
        <w:numPr>
          <w:ilvl w:val="0"/>
          <w:numId w:val="2"/>
        </w:numPr>
        <w:spacing w:after="60" w:line="276"/>
      </w:pPr>
      <w:r>
        <w:t xml:space="preserve">Indiquer de manière claire et lisible le caractère commercial de sa recommandation lorsqu'elle s'adresse au public (mention d'un partenariat ou d'un lien affilié), conformément au droit de la consommation et à la loi n° 2023-451 du 9 juin 2023 encadrant l'influence commerciale.</w:t>
      </w:r>
    </w:p>
    <w:p>
      <w:pPr>
        <w:pStyle w:val="ListParagraph"/>
        <w:numPr>
          <w:ilvl w:val="0"/>
          <w:numId w:val="2"/>
        </w:numPr>
        <w:spacing w:after="60" w:line="276"/>
      </w:pPr>
      <w:r>
        <w:t xml:space="preserve">Ne pas enchérir sur la marque « Volia » et ses variantes dans les régies publicitaires (Google Ads, etc.) ni utiliser des noms de domaine prêtant à confusion, sauf autorisation écrite préalable.</w:t>
      </w:r>
    </w:p>
    <w:p>
      <w:pPr>
        <w:pStyle w:val="ListParagraph"/>
        <w:numPr>
          <w:ilvl w:val="0"/>
          <w:numId w:val="2"/>
        </w:numPr>
        <w:spacing w:after="60" w:line="276"/>
      </w:pPr>
      <w:r>
        <w:t xml:space="preserve">Ne formuler aucune promesse de résultat, garantie de revenu, ni allégation chiffrée non validée par Volia.</w:t>
      </w:r>
    </w:p>
    <w:p>
      <w:pPr>
        <w:pStyle w:val="ListParagraph"/>
        <w:numPr>
          <w:ilvl w:val="0"/>
          <w:numId w:val="2"/>
        </w:numPr>
        <w:spacing w:after="60" w:line="276"/>
      </w:pPr>
      <w:r>
        <w:t xml:space="preserve">S'abstenir de tout auto-parrainage et de tout contournement du mécanisme d'attribution.</w:t>
      </w:r>
    </w:p>
    <w:p>
      <w:pPr>
        <w:spacing w:after="120" w:line="276"/>
        <w:jc w:val="both"/>
      </w:pPr>
      <w:r>
        <w:t xml:space="preserve">En cas de manquement, Volia pourra suspendre le compte d'affilié, annuler les Commissions concernées et/ou résilier le contrat dans les conditions de l'Article 11.</w:t>
      </w:r>
    </w:p>
    <w:p>
      <w:pPr>
        <w:pStyle w:val="Heading1"/>
      </w:pPr>
      <w:r>
        <w:t xml:space="preserve">Article 9 — Obligations de Volia</w:t>
      </w:r>
    </w:p>
    <w:p>
      <w:pPr>
        <w:pStyle w:val="ListParagraph"/>
        <w:numPr>
          <w:ilvl w:val="0"/>
          <w:numId w:val="2"/>
        </w:numPr>
        <w:spacing w:after="60" w:line="276"/>
      </w:pPr>
      <w:r>
        <w:t xml:space="preserve">Mettre à disposition de l'Apporteur, après validation de sa candidature, un Lien d'affiliation unique et un accès au Tableau de bord.</w:t>
      </w:r>
    </w:p>
    <w:p>
      <w:pPr>
        <w:pStyle w:val="ListParagraph"/>
        <w:numPr>
          <w:ilvl w:val="0"/>
          <w:numId w:val="2"/>
        </w:numPr>
        <w:spacing w:after="60" w:line="276"/>
      </w:pPr>
      <w:r>
        <w:t xml:space="preserve">Assurer le suivi des clics, des Clients Apportés et des Commissions avec une transparence raisonnable via le Tableau de bord.</w:t>
      </w:r>
    </w:p>
    <w:p>
      <w:pPr>
        <w:pStyle w:val="ListParagraph"/>
        <w:numPr>
          <w:ilvl w:val="0"/>
          <w:numId w:val="2"/>
        </w:numPr>
        <w:spacing w:after="60" w:line="276"/>
      </w:pPr>
      <w:r>
        <w:t xml:space="preserve">Régler les Commissions dues dans les conditions de l'Article 7.</w:t>
      </w:r>
    </w:p>
    <w:p>
      <w:pPr>
        <w:pStyle w:val="ListParagraph"/>
        <w:numPr>
          <w:ilvl w:val="0"/>
          <w:numId w:val="2"/>
        </w:numPr>
        <w:spacing w:after="60" w:line="276"/>
      </w:pPr>
      <w:r>
        <w:t xml:space="preserve">Informer l'Apporteur des évolutions significatives du programme dans les conditions de l'Article 14.</w:t>
      </w:r>
    </w:p>
    <w:p>
      <w:pPr>
        <w:pStyle w:val="Heading1"/>
      </w:pPr>
      <w:r>
        <w:t xml:space="preserve">Article 10 — Non-exclusivité</w:t>
      </w:r>
    </w:p>
    <w:p>
      <w:pPr>
        <w:spacing w:after="120" w:line="276"/>
        <w:jc w:val="both"/>
      </w:pPr>
      <w:r>
        <w:t xml:space="preserve">Le présent contrat est conclu sans exclusivité. Chaque Partie demeure libre de conclure des accords similaires avec des tiers. L'Apporteur n'est soumis à aucun objectif minimal et reste libre de l'intensité de son activité de recommandation.</w:t>
      </w:r>
    </w:p>
    <w:p>
      <w:pPr>
        <w:pStyle w:val="Heading1"/>
      </w:pPr>
      <w:r>
        <w:t xml:space="preserve">Article 11 — Durée, résiliation et suspension</w:t>
      </w:r>
    </w:p>
    <w:p>
      <w:pPr>
        <w:spacing w:after="120" w:line="276"/>
        <w:jc w:val="both"/>
      </w:pPr>
      <w:r>
        <w:t xml:space="preserve">Le contrat prend effet à sa date de signature (ou à la date de validation de la candidature d'affilié) pour une durée indéterminée.</w:t>
      </w:r>
    </w:p>
    <w:p>
      <w:pPr>
        <w:pStyle w:val="ListParagraph"/>
        <w:numPr>
          <w:ilvl w:val="0"/>
          <w:numId w:val="2"/>
        </w:numPr>
        <w:spacing w:after="60" w:line="276"/>
      </w:pPr>
      <w:r>
        <w:t xml:space="preserve">Chaque Partie peut y mettre fin à tout moment, sans motif, moyennant un préavis de trente (30) jours notifié par tout moyen écrit (e-mail compris).</w:t>
      </w:r>
    </w:p>
    <w:p>
      <w:pPr>
        <w:pStyle w:val="ListParagraph"/>
        <w:numPr>
          <w:ilvl w:val="0"/>
          <w:numId w:val="2"/>
        </w:numPr>
        <w:spacing w:after="60" w:line="276"/>
      </w:pPr>
      <w:r>
        <w:t xml:space="preserve">Volia peut suspendre l'accès de l'Apporteur ou résilier le contrat avec effet immédiat en cas de manquement grave, de fraude, ou de non-respect des Articles 4 et 8, sans préjudice de tous dommages-intérêts.</w:t>
      </w:r>
    </w:p>
    <w:p>
      <w:pPr>
        <w:pStyle w:val="Heading1"/>
      </w:pPr>
      <w:r>
        <w:t xml:space="preserve">Article 12 — Sort des Commissions après cessation</w:t>
      </w:r>
    </w:p>
    <w:p>
      <w:pPr>
        <w:spacing w:after="120" w:line="276"/>
        <w:jc w:val="both"/>
      </w:pPr>
      <w:r>
        <w:t xml:space="preserve">En cas de résiliation pour un motif autre qu'une faute de l'Apporteur, les Commissions afférentes aux Clients Apportés avant la date de cessation restent dues, dans la limite des durées prévues à l'Article 6 et sous réserve des annulations de l'Article 7.</w:t>
      </w:r>
    </w:p>
    <w:p>
      <w:pPr>
        <w:spacing w:after="120" w:line="276"/>
        <w:jc w:val="both"/>
      </w:pPr>
      <w:r>
        <w:t xml:space="preserve">En cas de résiliation pour faute grave ou fraude de l'Apporteur, les Commissions non encore versées et liées au manquement pourront être annulées.</w:t>
      </w:r>
    </w:p>
    <w:p>
      <w:pPr>
        <w:pStyle w:val="Heading1"/>
      </w:pPr>
      <w:r>
        <w:t xml:space="preserve">Article 13 — Confidentialité et données personnelles</w:t>
      </w:r>
    </w:p>
    <w:p>
      <w:pPr>
        <w:spacing w:after="120" w:line="276"/>
        <w:jc w:val="both"/>
      </w:pPr>
      <w:r>
        <w:t xml:space="preserve">Chaque Partie s'engage à conserver confidentielles les informations non publiques échangées dans le cadre des présentes (notamment données de facturation, données relatives aux Clients Apportés).</w:t>
      </w:r>
    </w:p>
    <w:p>
      <w:pPr>
        <w:spacing w:after="120" w:line="276"/>
        <w:jc w:val="both"/>
      </w:pPr>
      <w:r>
        <w:t xml:space="preserve">Chaque Partie traite les données personnelles conformément au RGPD et à la loi « Informatique et Libertés », chacune agissant en qualité de responsable de traitement autonome pour ses propres traitements. L'Apporteur ne reçoit ni ne traite, pour le compte de Volia, les données personnelles des Clients : aucun acte de sous-traitance au sens de l'article 28 du RGPD n'est dès lors constitué, et la conclusion d'un accord de sous-traitance (DPA) n'est pas requise.</w:t>
      </w:r>
    </w:p>
    <w:p>
      <w:pPr>
        <w:pStyle w:val="Heading1"/>
      </w:pPr>
      <w:r>
        <w:t xml:space="preserve">Article 14 — Évolution du programme</w:t>
      </w:r>
    </w:p>
    <w:p>
      <w:pPr>
        <w:spacing w:after="120" w:line="276"/>
        <w:jc w:val="both"/>
      </w:pPr>
      <w:r>
        <w:t xml:space="preserve">Volia peut faire évoluer les caractéristiques du programme d'affiliation (taux, durées, modalités d'attribution ou de versement) pour l'avenir. Toute modification substantielle est notifiée à l'Apporteur avec un préavis raisonnable de 30 jours et s'applique aux Clients Apportés postérieurement à son entrée en vigueur. Les Commissions déjà acquises ne sont pas affectées.</w:t>
      </w:r>
    </w:p>
    <w:p>
      <w:pPr>
        <w:pStyle w:val="Heading1"/>
      </w:pPr>
      <w:r>
        <w:t xml:space="preserve">Article 15 — Stipulations diverses</w:t>
      </w:r>
    </w:p>
    <w:p>
      <w:pPr>
        <w:pStyle w:val="ListParagraph"/>
        <w:numPr>
          <w:ilvl w:val="0"/>
          <w:numId w:val="2"/>
        </w:numPr>
        <w:spacing w:after="60" w:line="276"/>
      </w:pPr>
      <w:r>
        <w:rPr>
          <w:b/>
          <w:bCs/>
        </w:rPr>
        <w:t xml:space="preserve">Intégralité. </w:t>
      </w:r>
      <w:r>
        <w:t xml:space="preserve">Le présent contrat exprime l'intégralité de l'accord des Parties sur son objet et remplace tout accord antérieur.</w:t>
      </w:r>
    </w:p>
    <w:p>
      <w:pPr>
        <w:pStyle w:val="ListParagraph"/>
        <w:numPr>
          <w:ilvl w:val="0"/>
          <w:numId w:val="2"/>
        </w:numPr>
        <w:spacing w:after="60" w:line="276"/>
      </w:pPr>
      <w:r>
        <w:rPr>
          <w:b/>
          <w:bCs/>
        </w:rPr>
        <w:t xml:space="preserve">Nullité partielle. </w:t>
      </w:r>
      <w:r>
        <w:t xml:space="preserve">Si une stipulation était jugée nulle, les autres demeureraient applicables.</w:t>
      </w:r>
    </w:p>
    <w:p>
      <w:pPr>
        <w:pStyle w:val="ListParagraph"/>
        <w:numPr>
          <w:ilvl w:val="0"/>
          <w:numId w:val="2"/>
        </w:numPr>
        <w:spacing w:after="60" w:line="276"/>
      </w:pPr>
      <w:r>
        <w:rPr>
          <w:b/>
          <w:bCs/>
        </w:rPr>
        <w:t xml:space="preserve">Non-renonciation. </w:t>
      </w:r>
      <w:r>
        <w:t xml:space="preserve">Le fait pour une Partie de ne pas se prévaloir d'un manquement ne vaut pas renonciation.</w:t>
      </w:r>
    </w:p>
    <w:p>
      <w:pPr>
        <w:pStyle w:val="ListParagraph"/>
        <w:numPr>
          <w:ilvl w:val="0"/>
          <w:numId w:val="2"/>
        </w:numPr>
        <w:spacing w:after="60" w:line="276"/>
      </w:pPr>
      <w:r>
        <w:rPr>
          <w:b/>
          <w:bCs/>
        </w:rPr>
        <w:t xml:space="preserve">Cession. </w:t>
      </w:r>
      <w:r>
        <w:t xml:space="preserve">L'Apporteur ne peut céder le présent contrat sans l'accord écrit préalable de Volia.</w:t>
      </w:r>
    </w:p>
    <w:p>
      <w:pPr>
        <w:pStyle w:val="ListParagraph"/>
        <w:numPr>
          <w:ilvl w:val="0"/>
          <w:numId w:val="2"/>
        </w:numPr>
        <w:spacing w:after="60" w:line="276"/>
      </w:pPr>
      <w:r>
        <w:rPr>
          <w:b/>
          <w:bCs/>
        </w:rPr>
        <w:t xml:space="preserve">Force majeure. </w:t>
      </w:r>
      <w:r>
        <w:t xml:space="preserve">Aucune Partie ne saurait être tenue responsable d'un manquement dû à un cas de force majeure au sens de l'article 1218 du Code civil.</w:t>
      </w:r>
    </w:p>
    <w:p>
      <w:pPr>
        <w:pStyle w:val="Heading1"/>
      </w:pPr>
      <w:r>
        <w:t xml:space="preserve">Article 16 — Droit applicable et juridiction</w:t>
      </w:r>
    </w:p>
    <w:p>
      <w:pPr>
        <w:spacing w:after="120" w:line="276"/>
        <w:jc w:val="both"/>
      </w:pPr>
      <w:r>
        <w:t xml:space="preserve">Le présent contrat est régi par le droit français. En cas de différend, les Parties s'efforceront de trouver une solution amiable. À défaut, le litige sera porté devant les tribunaux compétents du ressort de Marseille, sauf règles d'ordre public contraires.</w:t>
      </w:r>
    </w:p>
    <w:p>
      <w:r>
        <w:br w:type="page"/>
      </w:r>
    </w:p>
    <w:p>
      <w:pPr>
        <w:pStyle w:val="Heading1"/>
      </w:pPr>
      <w:r>
        <w:t xml:space="preserve">Signatures</w:t>
      </w:r>
    </w:p>
    <w:p>
      <w:pPr>
        <w:spacing w:after="120" w:line="276"/>
        <w:jc w:val="both"/>
      </w:pPr>
      <w:r>
        <w:t xml:space="preserve">Fait à ……………………………………, le …………………………, en deux (2) exemplaires originaux.</w:t>
      </w:r>
    </w:p>
    <w:p>
      <w:pPr>
        <w:spacing w:after="120" w:line="276"/>
        <w:jc w:val="both"/>
      </w:pPr>
      <w:r>
        <w:rPr>
          <w:i/>
          <w:iCs/>
          <w:color w:val="555555"/>
          <w:sz w:val="20"/>
          <w:szCs w:val="20"/>
        </w:rPr>
        <w:t xml:space="preserve">Mention manuscrite recommandée pour chaque Partie : « Lu et approuvé ».</w:t>
      </w:r>
    </w:p>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120"/>
              <w:left w:type="dxa" w:w="160"/>
              <w:bottom w:type="dxa" w:w="600"/>
              <w:right w:type="dxa" w:w="160"/>
            </w:tcMar>
          </w:tcPr>
          <w:p>
            <w:r>
              <w:rPr>
                <w:b/>
                <w:bCs/>
              </w:rPr>
              <w:t xml:space="preserve">Pour Volia</w:t>
            </w:r>
          </w:p>
          <w:p>
            <w:pPr>
              <w:spacing w:before="60"/>
            </w:pPr>
            <w:r>
              <w:rPr>
                <w:sz w:val="20"/>
                <w:szCs w:val="20"/>
              </w:rPr>
              <w:t xml:space="preserve">Nom : Anthony Malartre</w:t>
            </w:r>
          </w:p>
          <w:p>
            <w:pPr>
              <w:spacing w:before="60"/>
            </w:pPr>
            <w:r>
              <w:rPr>
                <w:sz w:val="20"/>
                <w:szCs w:val="20"/>
              </w:rPr>
              <w:t xml:space="preserve">Qualité : Entrepreneur individuel (Volia)</w:t>
            </w:r>
          </w:p>
          <w:p>
            <w:pPr>
              <w:spacing w:before="240"/>
            </w:pPr>
            <w:r>
              <w:rPr>
                <w:sz w:val="20"/>
                <w:szCs w:val="20"/>
              </w:rPr>
              <w:t xml:space="preserve">Signature :</w:t>
            </w:r>
          </w:p>
        </w:tc>
        <w:tc>
          <w:tcPr>
            <w:tcW w:type="dxa" w:w="4680"/>
            <w:tcBorders>
              <w:top w:val="single" w:color="CCCCCC" w:sz="1"/>
              <w:left w:val="single" w:color="CCCCCC" w:sz="1"/>
              <w:bottom w:val="single" w:color="CCCCCC" w:sz="1"/>
              <w:right w:val="single" w:color="CCCCCC" w:sz="1"/>
            </w:tcBorders>
            <w:tcMar>
              <w:top w:type="dxa" w:w="120"/>
              <w:left w:type="dxa" w:w="160"/>
              <w:bottom w:type="dxa" w:w="600"/>
              <w:right w:type="dxa" w:w="160"/>
            </w:tcMar>
          </w:tcPr>
          <w:p>
            <w:r>
              <w:rPr>
                <w:b/>
                <w:bCs/>
              </w:rPr>
              <w:t xml:space="preserve">L'Apporteur</w:t>
            </w:r>
          </w:p>
          <w:p>
            <w:pPr>
              <w:spacing w:before="60"/>
            </w:pPr>
            <w:r>
              <w:rPr>
                <w:sz w:val="20"/>
                <w:szCs w:val="20"/>
              </w:rPr>
              <w:t xml:space="preserve">Nom : …………………………………</w:t>
            </w:r>
          </w:p>
          <w:p>
            <w:pPr>
              <w:spacing w:before="60"/>
            </w:pPr>
            <w:r>
              <w:rPr>
                <w:sz w:val="20"/>
                <w:szCs w:val="20"/>
              </w:rPr>
              <w:t xml:space="preserve">Qualité : …………………………</w:t>
            </w:r>
          </w:p>
          <w:p>
            <w:pPr>
              <w:spacing w:before="240"/>
            </w:pPr>
            <w:r>
              <w:rPr>
                <w:sz w:val="20"/>
                <w:szCs w:val="20"/>
              </w:rPr>
              <w:t xml:space="preserve">Signature :</w:t>
            </w:r>
          </w:p>
        </w:tc>
      </w:tr>
    </w:tbl>
    <w:p>
      <w:pPr>
        <w:spacing w:after="80"/>
      </w:pPr>
      <w:r>
        <w:t xml:space="preserve"/>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D28D9" w:sz="4"/>
              <w:left w:val="single" w:color="6D28D9" w:sz="12"/>
              <w:bottom w:val="single" w:color="6D28D9" w:sz="4"/>
              <w:right w:val="single" w:color="6D28D9" w:sz="4"/>
            </w:tcBorders>
            <w:shd w:fill="F3F0FF" w:val="clear"/>
            <w:tcMar>
              <w:top w:type="dxa" w:w="120"/>
              <w:left w:type="dxa" w:w="160"/>
              <w:bottom w:type="dxa" w:w="120"/>
              <w:right w:type="dxa" w:w="160"/>
            </w:tcMar>
          </w:tcPr>
          <w:p>
            <w:pPr>
              <w:spacing w:after="80" w:line="264"/>
            </w:pPr>
            <w:r>
              <w:rPr>
                <w:b/>
                <w:bCs/>
                <w:color w:val="6D28D9"/>
                <w:sz w:val="20"/>
                <w:szCs w:val="20"/>
              </w:rPr>
              <w:t xml:space="preserve">Annexe suggérée (à ajouter selon vos besoins)</w:t>
            </w:r>
          </w:p>
          <w:p>
            <w:pPr>
              <w:spacing w:after="80" w:line="264"/>
            </w:pPr>
            <w:r>
              <w:rPr>
                <w:color w:val="555555"/>
                <w:sz w:val="20"/>
                <w:szCs w:val="20"/>
              </w:rPr>
              <w:t xml:space="preserve">• Annexe 1 — Conditions du programme en vigueur (barème, seuil, fenêtre d'attribution).</w:t>
            </w:r>
          </w:p>
          <w:p>
            <w:pPr>
              <w:spacing w:after="0" w:line="264"/>
            </w:pPr>
            <w:r>
              <w:rPr>
                <w:color w:val="555555"/>
                <w:sz w:val="20"/>
                <w:szCs w:val="20"/>
              </w:rPr>
              <w:t xml:space="preserve">• Annexe 2 — Charte d'utilisation de la marque et règles promotionnelles.</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Modèle de travail — à faire valider par un conseil juridique · Page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jc w:val="right"/>
    </w:pPr>
    <w:r>
      <w:rPr>
        <w:color w:val="999999"/>
        <w:sz w:val="16"/>
        <w:szCs w:val="16"/>
      </w:rPr>
      <w:t xml:space="preserve">Contrat d'apporteur d'affaires — Volia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6D28D9"/>
      <w:sz w:val="26"/>
      <w:szCs w:val="26"/>
    </w:rPr>
  </w:style>
  <w:style w:type="paragraph" w:styleId="Heading2">
    <w:name w:val="Heading 2"/>
    <w:basedOn w:val="Normal"/>
    <w:next w:val="Normal"/>
    <w:qFormat/>
    <w:pPr>
      <w:spacing w:after="80" w:before="160"/>
      <w:outlineLvl w:val="1"/>
    </w:pPr>
    <w:rPr>
      <w:rFonts w:ascii="Calibri" w:cs="Calibri" w:eastAsia="Calibri" w:hAnsi="Calibri"/>
      <w:b/>
      <w:b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d'apporteur d'affaires — Volia</dc:title>
  <dc:creator>Volia</dc:creator>
  <cp:lastModifiedBy>Un-named</cp:lastModifiedBy>
  <cp:revision>1</cp:revision>
  <dcterms:created xsi:type="dcterms:W3CDTF">2026-06-03T20:25:42.666Z</dcterms:created>
  <dcterms:modified xsi:type="dcterms:W3CDTF">2026-06-03T20:25:42.667Z</dcterms:modified>
</cp:coreProperties>
</file>

<file path=docProps/custom.xml><?xml version="1.0" encoding="utf-8"?>
<Properties xmlns="http://schemas.openxmlformats.org/officeDocument/2006/custom-properties" xmlns:vt="http://schemas.openxmlformats.org/officeDocument/2006/docPropsVTypes"/>
</file>