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b/>
          <w:bCs/>
          <w:color w:val="6D28D9"/>
          <w:sz w:val="52"/>
          <w:szCs w:val="52"/>
        </w:rPr>
        <w:t xml:space="preserve">VOLIA</w:t>
      </w:r>
    </w:p>
    <w:p>
      <w:pPr>
        <w:spacing w:after="0" w:before="400"/>
        <w:jc w:val="center"/>
      </w:pPr>
      <w:r>
        <w:rPr>
          <w:b/>
          <w:bCs/>
          <w:sz w:val="34"/>
          <w:szCs w:val="34"/>
        </w:rPr>
        <w:t xml:space="preserve">ANNEXES AU CONTRAT D'APPORTEUR D'AFFAIRES</w:t>
      </w:r>
    </w:p>
    <w:p>
      <w:pPr>
        <w:spacing w:before="120"/>
        <w:jc w:val="center"/>
      </w:pPr>
      <w:r>
        <w:rPr>
          <w:color w:val="555555"/>
          <w:sz w:val="20"/>
          <w:szCs w:val="20"/>
        </w:rPr>
        <w:t xml:space="preserve">Annexe 1 — Conditions du programme · Annexe 2 — Charte de marque · Version 1.0</w:t>
      </w:r>
    </w:p>
    <w:p>
      <w:r>
        <w:br w:type="page"/>
      </w:r>
    </w:p>
    <w:p>
      <w:pPr>
        <w:spacing w:after="120" w:line="276"/>
        <w:jc w:val="both"/>
      </w:pPr>
      <w:r>
        <w:rPr>
          <w:i/>
          <w:iCs/>
          <w:color w:val="555555"/>
        </w:rPr>
        <w:t xml:space="preserve">Les présentes annexes font partie intégrante du contrat d'apporteur d'affaires conclu entre M. Anthony Malartre (nom commercial Volia) et l'Apporteur. En cas de divergence, le corps du contrat prévaut. Volia peut les faire évoluer pour l'avenir (préavis de 30 jours, Article 14 du contrat).</w:t>
      </w:r>
    </w:p>
    <w:p>
      <w:pPr>
        <w:pStyle w:val="Heading1"/>
      </w:pPr>
      <w:r>
        <w:t xml:space="preserve">Annexe 1 — Conditions du programme en vigueur</w:t>
      </w:r>
    </w:p>
    <w:p>
      <w:pPr>
        <w:spacing w:after="120" w:line="276"/>
        <w:jc w:val="both"/>
      </w:pPr>
      <w:r>
        <w:t xml:space="preserve">Cette annexe précise les paramètres opérationnels du programme à la date d'entrée en vigueur et prévaut sur toute valeur indiquée à titre d'exemple dans le corps du contrat.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rPr>
          <w:tblHeader/>
        </w:trPr>
        <w:tc>
          <w:tcPr>
            <w:tcW w:type="dxa" w:w="3560"/>
            <w:tcBorders>
              <w:top w:val="single" w:color="CCCCCC" w:sz="1"/>
              <w:left w:val="single" w:color="CCCCCC" w:sz="1"/>
              <w:bottom w:val="single" w:color="CCCCCC" w:sz="1"/>
              <w:right w:val="single" w:color="CCCCCC" w:sz="1"/>
            </w:tcBorders>
            <w:shd w:fill="6D28D9" w:val="clear"/>
            <w:tcMar>
              <w:top w:type="dxa" w:w="70"/>
              <w:left w:type="dxa" w:w="110"/>
              <w:bottom w:type="dxa" w:w="70"/>
              <w:right w:type="dxa" w:w="110"/>
            </w:tcMar>
          </w:tcPr>
          <w:p>
            <w:r>
              <w:rPr>
                <w:b/>
                <w:bCs/>
                <w:color w:val="FFFFFF"/>
                <w:sz w:val="19"/>
                <w:szCs w:val="19"/>
              </w:rPr>
              <w:t xml:space="preserve">Paramètre</w:t>
            </w:r>
          </w:p>
        </w:tc>
        <w:tc>
          <w:tcPr>
            <w:tcW w:type="dxa" w:w="5800"/>
            <w:tcBorders>
              <w:top w:val="single" w:color="CCCCCC" w:sz="1"/>
              <w:left w:val="single" w:color="CCCCCC" w:sz="1"/>
              <w:bottom w:val="single" w:color="CCCCCC" w:sz="1"/>
              <w:right w:val="single" w:color="CCCCCC" w:sz="1"/>
            </w:tcBorders>
            <w:shd w:fill="6D28D9" w:val="clear"/>
            <w:tcMar>
              <w:top w:type="dxa" w:w="70"/>
              <w:left w:type="dxa" w:w="110"/>
              <w:bottom w:type="dxa" w:w="70"/>
              <w:right w:type="dxa" w:w="110"/>
            </w:tcMar>
          </w:tcPr>
          <w:p>
            <w:r>
              <w:rPr>
                <w:b/>
                <w:bCs/>
                <w:color w:val="FFFFFF"/>
                <w:sz w:val="19"/>
                <w:szCs w:val="19"/>
              </w:rPr>
              <w:t xml:space="preserve">Valeur en vigueur</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Commission année 1 (mois 0-11)</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50 % du Montant Net Encaissé HT</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Commission année 2 (mois 12-23)</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30 % du Montant Net Encaissé HT</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À compter du mois 24</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0 % (fin du droit à commission)</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Base de calcul</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Montant HT encaissé, net de remises, avoirs, impayés, remboursements et rétrofacturations</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Récurrence</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Sur chaque paiement (mensuel/annuel) tant que le Client est actif et à jour</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Fenêtre d'attribution</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90 jours à compter du 1er clic sur le lien</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Règle d'attribution</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Premier contact (first-touch), cookie au 1er clic ; anti auto-parrainage</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Délai d'acquisition (hold)</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Commission disponible 30 jours après le paiement du Client</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Annulation (clawback)</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Remboursement, impayé ou rétrofacturation du Client</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Seuil de versement</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50 € HT (report en deçà)</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Modalité de versement</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Virement, sur facture conforme, sous 30 jours</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Validation des candidatures</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Manuelle, par Volia</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Lien d'affiliation</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https://volia.fr/?aff=CODE</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Tableau de bord</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https://volia.fr/affiliation/suivi?code=CODE</w:t>
            </w:r>
          </w:p>
        </w:tc>
      </w:tr>
      <w:tr>
        <w:trPr>
          <w:tblHeader w:val="false"/>
        </w:trPr>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00000"/>
                <w:sz w:val="19"/>
                <w:szCs w:val="19"/>
              </w:rPr>
              <w:t xml:space="preserve">Contact programme</w:t>
            </w:r>
          </w:p>
        </w:tc>
        <w:tc>
          <w:tcPr>
            <w:tcW w:type="dxa" w:w="5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contact@volia.fr</w:t>
            </w:r>
          </w:p>
        </w:tc>
      </w:tr>
    </w:tbl>
    <w:p>
      <w:pPr>
        <w:spacing w:after="120" w:line="276"/>
        <w:jc w:val="both"/>
      </w:pPr>
      <w:r>
        <w:rPr>
          <w:b/>
          <w:bCs/>
        </w:rPr>
        <w:t xml:space="preserve">Exemple indicatif (sans valeur de garantie). </w:t>
      </w:r>
      <w:r>
        <w:t xml:space="preserve">Pour un Client à 49 € HT/mois : 24,50 €/mois en année 1, 14,70 €/mois en année 2, puis 0.</w:t>
      </w:r>
    </w:p>
    <w:p>
      <w:r>
        <w:br w:type="page"/>
      </w:r>
    </w:p>
    <w:p>
      <w:pPr>
        <w:pStyle w:val="Heading1"/>
      </w:pPr>
      <w:r>
        <w:t xml:space="preserve">Annexe 2 — Charte d'utilisation de la marque et règles promotionnelles</w:t>
      </w:r>
    </w:p>
    <w:p>
      <w:pPr>
        <w:spacing w:after="120" w:line="276"/>
        <w:jc w:val="both"/>
      </w:pPr>
      <w:r>
        <w:t xml:space="preserve">L'Apporteur s'engage à promouvoir Volia de manière loyale, exacte et conforme à la présente charte, qui protège la marque, les utilisateurs et l'Apporteur lui-même.</w:t>
      </w:r>
    </w:p>
    <w:p>
      <w:pPr>
        <w:pStyle w:val="Heading2"/>
      </w:pPr>
      <w:r>
        <w:t xml:space="preserve">1. Ce que l'Apporteur PEUT faire</w:t>
      </w:r>
    </w:p>
    <w:p>
      <w:pPr>
        <w:pStyle w:val="ListParagraph"/>
        <w:numPr>
          <w:ilvl w:val="0"/>
          <w:numId w:val="2"/>
        </w:numPr>
        <w:spacing w:after="60" w:line="270"/>
      </w:pPr>
      <w:r>
        <w:t xml:space="preserve">Citer le nom « Volia » et renvoyer vers https://volia.fr via son lien d'affiliation.</w:t>
      </w:r>
    </w:p>
    <w:p>
      <w:pPr>
        <w:pStyle w:val="ListParagraph"/>
        <w:numPr>
          <w:ilvl w:val="0"/>
          <w:numId w:val="2"/>
        </w:numPr>
        <w:spacing w:after="60" w:line="270"/>
      </w:pPr>
      <w:r>
        <w:t xml:space="preserve">Utiliser le logo officiel fourni par Volia, sans le déformer (couleurs, proportions, espace de protection respectés).</w:t>
      </w:r>
    </w:p>
    <w:p>
      <w:pPr>
        <w:pStyle w:val="ListParagraph"/>
        <w:numPr>
          <w:ilvl w:val="0"/>
          <w:numId w:val="2"/>
        </w:numPr>
        <w:spacing w:after="60" w:line="270"/>
      </w:pPr>
      <w:r>
        <w:t xml:space="preserve">Présenter les fonctionnalités et tarifs réellement publiés par Volia (ex. « à partir de 19 €/mois », « essai 14 jours sans carte bancaire »).</w:t>
      </w:r>
    </w:p>
    <w:p>
      <w:pPr>
        <w:pStyle w:val="ListParagraph"/>
        <w:numPr>
          <w:ilvl w:val="0"/>
          <w:numId w:val="2"/>
        </w:numPr>
        <w:spacing w:after="60" w:line="270"/>
      </w:pPr>
      <w:r>
        <w:t xml:space="preserve">Mettre en avant des arguments vérifiables : Made in France, hébergement UE, RGPD, suite Prospection · Campagnes · CRM · Forms.</w:t>
      </w:r>
    </w:p>
    <w:p>
      <w:pPr>
        <w:pStyle w:val="ListParagraph"/>
        <w:numPr>
          <w:ilvl w:val="0"/>
          <w:numId w:val="2"/>
        </w:numPr>
        <w:spacing w:after="60" w:line="270"/>
      </w:pPr>
      <w:r>
        <w:t xml:space="preserve">Créer ses propres contenus (posts, vidéos, articles) à condition qu'ils soient exacts et transparents.</w:t>
      </w:r>
    </w:p>
    <w:p>
      <w:pPr>
        <w:pStyle w:val="Heading2"/>
      </w:pPr>
      <w:r>
        <w:t xml:space="preserve">2. Ce que l'Apporteur NE PEUT PAS faire</w:t>
      </w:r>
    </w:p>
    <w:p>
      <w:pPr>
        <w:pStyle w:val="ListParagraph"/>
        <w:numPr>
          <w:ilvl w:val="0"/>
          <w:numId w:val="2"/>
        </w:numPr>
        <w:spacing w:after="60" w:line="270"/>
      </w:pPr>
      <w:r>
        <w:t xml:space="preserve">Enchérir sur la marque « Volia » et ses variantes en publicité (Google Ads, Bing Ads, etc.) sans autorisation écrite.</w:t>
      </w:r>
    </w:p>
    <w:p>
      <w:pPr>
        <w:pStyle w:val="ListParagraph"/>
        <w:numPr>
          <w:ilvl w:val="0"/>
          <w:numId w:val="2"/>
        </w:numPr>
        <w:spacing w:after="60" w:line="270"/>
      </w:pPr>
      <w:r>
        <w:t xml:space="preserve">Déposer/utiliser des noms de domaine, comptes ou pages prêtant à confusion avec un service officiel de Volia.</w:t>
      </w:r>
    </w:p>
    <w:p>
      <w:pPr>
        <w:pStyle w:val="ListParagraph"/>
        <w:numPr>
          <w:ilvl w:val="0"/>
          <w:numId w:val="2"/>
        </w:numPr>
        <w:spacing w:after="60" w:line="270"/>
      </w:pPr>
      <w:r>
        <w:t xml:space="preserve">Pratiquer le spam, l'envoi non sollicité, l'achat de bases non consenties ou toute prospection non conforme au RGPD.</w:t>
      </w:r>
    </w:p>
    <w:p>
      <w:pPr>
        <w:pStyle w:val="ListParagraph"/>
        <w:numPr>
          <w:ilvl w:val="0"/>
          <w:numId w:val="2"/>
        </w:numPr>
        <w:spacing w:after="60" w:line="270"/>
      </w:pPr>
      <w:r>
        <w:t xml:space="preserve">Formuler des promesses de résultat, garanties de revenus ou chiffres non publiés/non sourcés par Volia.</w:t>
      </w:r>
    </w:p>
    <w:p>
      <w:pPr>
        <w:pStyle w:val="ListParagraph"/>
        <w:numPr>
          <w:ilvl w:val="0"/>
          <w:numId w:val="2"/>
        </w:numPr>
        <w:spacing w:after="60" w:line="270"/>
      </w:pPr>
      <w:r>
        <w:t xml:space="preserve">Annoncer de fausses promotions/codes non validés ; pratiquer le cashback sans accord écrit.</w:t>
      </w:r>
    </w:p>
    <w:p>
      <w:pPr>
        <w:pStyle w:val="ListParagraph"/>
        <w:numPr>
          <w:ilvl w:val="0"/>
          <w:numId w:val="2"/>
        </w:numPr>
        <w:spacing w:after="60" w:line="270"/>
      </w:pPr>
      <w:r>
        <w:t xml:space="preserve">Dénigrer des concurrents ou usurper l'identité de Volia.</w:t>
      </w:r>
    </w:p>
    <w:p>
      <w:pPr>
        <w:pStyle w:val="Heading2"/>
      </w:pPr>
      <w:r>
        <w:t xml:space="preserve">3. Allégations chiffrées — règle de prudence</w:t>
      </w:r>
    </w:p>
    <w:p>
      <w:pPr>
        <w:spacing w:after="120" w:line="276"/>
        <w:jc w:val="both"/>
      </w:pPr>
      <w:r>
        <w:t xml:space="preserve">Pour rester conforme au droit de la consommation et éviter toute pratique commerciale trompeuse, l'Apporteur n'utilise que des éléments publiés et vérifiables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D28D9" w:val="clear"/>
            <w:tcMar>
              <w:top w:type="dxa" w:w="70"/>
              <w:left w:type="dxa" w:w="110"/>
              <w:bottom w:type="dxa" w:w="70"/>
              <w:right w:type="dxa" w:w="110"/>
            </w:tcMar>
          </w:tcPr>
          <w:p>
            <w:r>
              <w:rPr>
                <w:b/>
                <w:bCs/>
                <w:color w:val="FFFFFF"/>
                <w:sz w:val="19"/>
                <w:szCs w:val="19"/>
              </w:rPr>
              <w:t xml:space="preserve">À éviter (non vérifiable / interdit)</w:t>
            </w:r>
          </w:p>
        </w:tc>
        <w:tc>
          <w:tcPr>
            <w:tcW w:type="dxa" w:w="4680"/>
            <w:tcBorders>
              <w:top w:val="single" w:color="CCCCCC" w:sz="1"/>
              <w:left w:val="single" w:color="CCCCCC" w:sz="1"/>
              <w:bottom w:val="single" w:color="CCCCCC" w:sz="1"/>
              <w:right w:val="single" w:color="CCCCCC" w:sz="1"/>
            </w:tcBorders>
            <w:shd w:fill="6D28D9" w:val="clear"/>
            <w:tcMar>
              <w:top w:type="dxa" w:w="70"/>
              <w:left w:type="dxa" w:w="110"/>
              <w:bottom w:type="dxa" w:w="70"/>
              <w:right w:type="dxa" w:w="110"/>
            </w:tcMar>
          </w:tcPr>
          <w:p>
            <w:r>
              <w:rPr>
                <w:b/>
                <w:bCs/>
                <w:color w:val="FFFFFF"/>
                <w:sz w:val="19"/>
                <w:szCs w:val="19"/>
              </w:rPr>
              <w:t xml:space="preserve">À privilégier (publié / vérifiable)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 Des milliers d'agents IA autonomes », « entreprise 100 % autonome », perfs inventées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 L'IA exécute la corvée, l'humain décide » ; fonctionnalités réelles</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 X % de réponse garantis », « doublez vos ventes »</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 Outil de prospection B2B dès 19 €/mois »</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Taux de couverture e-mail gonflés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000000"/>
                <w:sz w:val="19"/>
                <w:szCs w:val="19"/>
              </w:rPr>
              <w:t xml:space="preserve">Renvoyer aux chiffres officiels publiés sur volia.fr</w:t>
            </w:r>
          </w:p>
        </w:tc>
      </w:tr>
    </w:tbl>
    <w:p>
      <w:pPr>
        <w:pStyle w:val="Heading2"/>
      </w:pPr>
      <w:r>
        <w:t xml:space="preserve">4. Obligation de transparence</w:t>
      </w:r>
    </w:p>
    <w:p>
      <w:pPr>
        <w:spacing w:after="120" w:line="276"/>
        <w:jc w:val="both"/>
      </w:pPr>
      <w:r>
        <w:t xml:space="preserve">Lorsque la recommandation s'adresse au public, l'Apporteur indique clairement la relation commerciale (« partenariat », « lien affilié » ou équivalent), conformément à la loi n° 2023-451 du 9 juin 2023 et au droit de la consommation.</w:t>
      </w:r>
    </w:p>
    <w:p>
      <w:pPr>
        <w:pStyle w:val="Heading2"/>
      </w:pPr>
      <w:r>
        <w:t xml:space="preserve">5. Contrôle et retrait</w:t>
      </w:r>
    </w:p>
    <w:p>
      <w:pPr>
        <w:spacing w:after="120" w:line="276"/>
        <w:jc w:val="both"/>
      </w:pPr>
      <w:r>
        <w:t xml:space="preserve">En cas de doute sur un contenu, l'Apporteur sollicite la validation de Volia à contact@volia.fr. Volia peut demander à tout moment la modification ou le retrait d'un contenu non conforme ; à défaut de mise en conformité, Volia peut suspendre le compte ou résilier le contrat (Articles 8 et 11 du contrat).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Annexes indissociables du contrat d'apporteur d'affaires Volia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b/>
      <w:bCs/>
      <w:color w:val="6D28D9"/>
      <w:sz w:val="27"/>
      <w:szCs w:val="27"/>
    </w:rPr>
  </w:style>
  <w:style w:type="paragraph" w:styleId="Heading2">
    <w:name w:val="Heading 2"/>
    <w:basedOn w:val="Normal"/>
    <w:next w:val="Normal"/>
    <w:pPr>
      <w:spacing w:after="70" w:before="160"/>
      <w:outlineLvl w:val="1"/>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2026-06-03T20:29:31.949Z</dcterms:created>
  <dcterms:modified xsi:type="dcterms:W3CDTF">2026-06-03T20:29:31.950Z</dcterms:modified>
</cp:coreProperties>
</file>

<file path=docProps/custom.xml><?xml version="1.0" encoding="utf-8"?>
<Properties xmlns="http://schemas.openxmlformats.org/officeDocument/2006/custom-properties" xmlns:vt="http://schemas.openxmlformats.org/officeDocument/2006/docPropsVTypes"/>
</file>