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44"/>
        </w:rPr>
        <w:t>ANTHONY L. MITCHELL, JR.</w:t>
      </w:r>
    </w:p>
    <w:p>
      <w:pPr>
        <w:jc w:val="center"/>
      </w:pPr>
      <w:r>
        <w:rPr>
          <w:b/>
          <w:color w:val="2F5F86"/>
          <w:sz w:val="21"/>
        </w:rPr>
        <w:t>CHIEF INFORMATION OFFICER | TECHNOLOGY, CYBERSECURITY &amp; TRANSFORMATION EXECUTIVE</w:t>
      </w:r>
    </w:p>
    <w:p>
      <w:pPr>
        <w:spacing w:after="80"/>
        <w:jc w:val="center"/>
      </w:pPr>
      <w:r>
        <w:t xml:space="preserve">Bristow, VA  |  (202) 557-4524  |  almitchelljr@hotmail.com  |  </w:t>
      </w:r>
      <w:hyperlink r:id="rId9">
        <w:r>
          <w:rPr>
            <w:color w:val="2F5F86"/>
            <w:u w:val="single"/>
          </w:rPr>
          <w:t>LinkedIn</w:t>
        </w:r>
      </w:hyperlink>
      <w:r>
        <w:t xml:space="preserve">  |  </w:t>
      </w:r>
      <w:hyperlink r:id="rId10">
        <w:r>
          <w:rPr>
            <w:color w:val="2F5F86"/>
            <w:u w:val="single"/>
          </w:rPr>
          <w:t>Executive Website</w:t>
        </w:r>
      </w:hyperlink>
    </w:p>
    <w:tbl>
      <w:tblPr>
        <w:tblW w:type="auto" w:w="0"/>
        <w:jc w:val="center"/>
        <w:tblLayout w:type="autofit"/>
        <w:tblLook w:firstColumn="1" w:firstRow="1" w:lastColumn="0" w:lastRow="0" w:noHBand="0" w:noVBand="1" w:val="04A0"/>
      </w:tblPr>
      <w:tblGrid>
        <w:gridCol w:w="10656"/>
      </w:tblGrid>
      <w:tr>
        <w:tc>
          <w:tcPr>
            <w:tcW w:type="dxa" w:w="10656"/>
            <w:shd w:fill="E9EEF2"/>
            <w:tcMar>
              <w:top w:w="90" w:type="dxa"/>
              <w:start w:w="120" w:type="dxa"/>
              <w:bottom w:w="90" w:type="dxa"/>
              <w:end w:w="120" w:type="dxa"/>
            </w:tcMar>
          </w:tcPr>
          <w:p>
            <w:pPr>
              <w:spacing w:after="40"/>
            </w:pPr>
            <w:r>
              <w:rPr>
                <w:b/>
                <w:color w:val="17324D"/>
                <w:sz w:val="22"/>
              </w:rPr>
              <w:t>EXECUTIVE PROFILE</w:t>
            </w:r>
          </w:p>
          <w:p>
            <w:pPr>
              <w:spacing w:after="0"/>
            </w:pPr>
            <w:r>
              <w:t>CIO-level technology executive with a 27-year career leading enterprise IT strategy, cybersecurity, governance, cloud transformation, and operational modernization at critical business inflection points. Trusted by executive leadership to stabilize environments, reduce risk, and position technology as a strategic driver of growth. Proven record of building enterprise governance and compliance capabilities from the ground up, including SOC 2 Type II ownership with zero major findings and NIST Cybersecurity Framework implementation. Delivered $11M+ in cumulative cost savings through cloud transformation, FinOps discipline, vendor strategy, and operating-model improvement.</w:t>
            </w:r>
          </w:p>
        </w:tc>
      </w:tr>
    </w:tbl>
    <w:p>
      <w:pPr>
        <w:pStyle w:val="Heading1"/>
      </w:pPr>
      <w:r>
        <w:t>EXECUTIVE IMPACT</w:t>
      </w:r>
    </w:p>
    <w:tbl>
      <w:tblPr>
        <w:tblW w:type="auto" w:w="0"/>
        <w:jc w:val="center"/>
        <w:tblLayout w:type="autofit"/>
        <w:tblLook w:firstColumn="1" w:firstRow="1" w:lastColumn="0" w:lastRow="0" w:noHBand="0" w:noVBand="1" w:val="04A0"/>
      </w:tblPr>
      <w:tblGrid>
        <w:gridCol w:w="5328"/>
        <w:gridCol w:w="5328"/>
      </w:tblGrid>
      <w:tr>
        <w:tc>
          <w:tcPr>
            <w:tcW w:type="dxa" w:w="5328"/>
            <w:tcMar>
              <w:top w:w="60" w:type="dxa"/>
              <w:start w:w="80" w:type="dxa"/>
              <w:bottom w:w="60" w:type="dxa"/>
              <w:end w:w="80" w:type="dxa"/>
            </w:tcMar>
          </w:tcPr>
          <w:p>
            <w:r>
              <w:rPr>
                <w:b/>
                <w:color w:val="9A7428"/>
                <w:sz w:val="24"/>
              </w:rPr>
              <w:t>$11M+</w:t>
            </w:r>
            <w:r>
              <w:br/>
              <w:t>Cumulative career cost savings through transformation and financial discipline</w:t>
            </w:r>
          </w:p>
        </w:tc>
        <w:tc>
          <w:tcPr>
            <w:tcW w:type="dxa" w:w="5328"/>
            <w:tcMar>
              <w:top w:w="60" w:type="dxa"/>
              <w:start w:w="80" w:type="dxa"/>
              <w:bottom w:w="60" w:type="dxa"/>
              <w:end w:w="80" w:type="dxa"/>
            </w:tcMar>
          </w:tcPr>
          <w:p>
            <w:r>
              <w:rPr>
                <w:b/>
                <w:color w:val="9A7428"/>
                <w:sz w:val="24"/>
              </w:rPr>
              <w:t>SOC 2</w:t>
            </w:r>
            <w:r>
              <w:br/>
              <w:t>Built and owned Type II readiness and audit program with zero major findings</w:t>
            </w:r>
          </w:p>
        </w:tc>
      </w:tr>
      <w:tr>
        <w:tc>
          <w:tcPr>
            <w:tcW w:type="dxa" w:w="5328"/>
            <w:tcMar>
              <w:top w:w="60" w:type="dxa"/>
              <w:start w:w="80" w:type="dxa"/>
              <w:bottom w:w="60" w:type="dxa"/>
              <w:end w:w="80" w:type="dxa"/>
            </w:tcMar>
          </w:tcPr>
          <w:p>
            <w:r>
              <w:rPr>
                <w:b/>
                <w:color w:val="9A7428"/>
                <w:sz w:val="24"/>
              </w:rPr>
              <w:t>NIST CSF</w:t>
            </w:r>
            <w:r>
              <w:br/>
              <w:t>Implemented enterprise cybersecurity governance across framework domains</w:t>
            </w:r>
          </w:p>
        </w:tc>
        <w:tc>
          <w:tcPr>
            <w:tcW w:type="dxa" w:w="5328"/>
            <w:tcMar>
              <w:top w:w="60" w:type="dxa"/>
              <w:start w:w="80" w:type="dxa"/>
              <w:bottom w:w="60" w:type="dxa"/>
              <w:end w:w="80" w:type="dxa"/>
            </w:tcMar>
          </w:tcPr>
          <w:p>
            <w:r>
              <w:rPr>
                <w:b/>
                <w:color w:val="9A7428"/>
                <w:sz w:val="24"/>
              </w:rPr>
              <w:t>Regulated IT</w:t>
            </w:r>
            <w:r>
              <w:br/>
              <w:t>Led technology in FDA, GMP, audit-intensive, association, and SaaS environments</w:t>
            </w:r>
          </w:p>
        </w:tc>
      </w:tr>
    </w:tbl>
    <w:p>
      <w:pPr>
        <w:pStyle w:val="Heading1"/>
      </w:pPr>
      <w:r>
        <w:t>CORE LEADERSHIP AREAS</w:t>
      </w:r>
    </w:p>
    <w:p>
      <w:pPr>
        <w:spacing w:after="60"/>
      </w:pPr>
    </w:p>
    <w:tbl>
      <w:tblPr>
        <w:tblW w:type="auto" w:w="0"/>
        <w:jc w:val="center"/>
        <w:tblLook w:firstColumn="1" w:firstRow="1" w:lastColumn="0" w:lastRow="0" w:noHBand="0" w:noVBand="1" w:val="04A0"/>
      </w:tblPr>
      <w:tblGrid>
        <w:gridCol w:w="5328"/>
        <w:gridCol w:w="5328"/>
      </w:tblGrid>
      <w:tr>
        <w:tc>
          <w:tcPr>
            <w:tcW w:type="dxa" w:w="5328"/>
            <w:tcMar>
              <w:top w:w="18" w:type="dxa"/>
              <w:start w:w="30" w:type="dxa"/>
              <w:bottom w:w="18" w:type="dxa"/>
              <w:end w:w="30" w:type="dxa"/>
            </w:tcMar>
          </w:tcPr>
          <w:p>
            <w:r>
              <w:rPr>
                <w:sz w:val="18"/>
              </w:rPr>
              <w:t>• Enterprise IT Strategy &amp; Digital Transformation</w:t>
            </w:r>
          </w:p>
        </w:tc>
        <w:tc>
          <w:tcPr>
            <w:tcW w:type="dxa" w:w="5328"/>
            <w:tcMar>
              <w:top w:w="18" w:type="dxa"/>
              <w:start w:w="30" w:type="dxa"/>
              <w:bottom w:w="18" w:type="dxa"/>
              <w:end w:w="30" w:type="dxa"/>
            </w:tcMar>
          </w:tcPr>
          <w:p>
            <w:r>
              <w:rPr>
                <w:sz w:val="18"/>
              </w:rPr>
              <w:t>• FinOps, Budget Governance &amp; Cost Optimization</w:t>
            </w:r>
          </w:p>
        </w:tc>
      </w:tr>
      <w:tr>
        <w:tc>
          <w:tcPr>
            <w:tcW w:type="dxa" w:w="5328"/>
            <w:tcMar>
              <w:top w:w="18" w:type="dxa"/>
              <w:start w:w="30" w:type="dxa"/>
              <w:bottom w:w="18" w:type="dxa"/>
              <w:end w:w="30" w:type="dxa"/>
            </w:tcMar>
          </w:tcPr>
          <w:p>
            <w:r>
              <w:rPr>
                <w:sz w:val="18"/>
              </w:rPr>
              <w:t>• Cybersecurity Leadership &amp; Risk Governance</w:t>
            </w:r>
          </w:p>
        </w:tc>
        <w:tc>
          <w:tcPr>
            <w:tcW w:type="dxa" w:w="5328"/>
            <w:tcMar>
              <w:top w:w="18" w:type="dxa"/>
              <w:start w:w="30" w:type="dxa"/>
              <w:bottom w:w="18" w:type="dxa"/>
              <w:end w:w="30" w:type="dxa"/>
            </w:tcMar>
          </w:tcPr>
          <w:p>
            <w:r>
              <w:rPr>
                <w:sz w:val="18"/>
              </w:rPr>
              <w:t>• M&amp;A Integration, Divestitures &amp; Business Transitions</w:t>
            </w:r>
          </w:p>
        </w:tc>
      </w:tr>
      <w:tr>
        <w:tc>
          <w:tcPr>
            <w:tcW w:type="dxa" w:w="5328"/>
            <w:tcMar>
              <w:top w:w="18" w:type="dxa"/>
              <w:start w:w="30" w:type="dxa"/>
              <w:bottom w:w="18" w:type="dxa"/>
              <w:end w:w="30" w:type="dxa"/>
            </w:tcMar>
          </w:tcPr>
          <w:p>
            <w:r>
              <w:rPr>
                <w:sz w:val="18"/>
              </w:rPr>
              <w:t>• Governance, Risk &amp; Compliance (SOC 2, NIST CSF, FDA, GMP)</w:t>
            </w:r>
          </w:p>
        </w:tc>
        <w:tc>
          <w:tcPr>
            <w:tcW w:type="dxa" w:w="5328"/>
            <w:tcMar>
              <w:top w:w="18" w:type="dxa"/>
              <w:start w:w="30" w:type="dxa"/>
              <w:bottom w:w="18" w:type="dxa"/>
              <w:end w:w="30" w:type="dxa"/>
            </w:tcMar>
          </w:tcPr>
          <w:p>
            <w:r>
              <w:rPr>
                <w:sz w:val="18"/>
              </w:rPr>
              <w:t>• Incident Response, Business Continuity &amp; Disaster Recovery</w:t>
            </w:r>
          </w:p>
        </w:tc>
      </w:tr>
      <w:tr>
        <w:tc>
          <w:tcPr>
            <w:tcW w:type="dxa" w:w="5328"/>
            <w:tcMar>
              <w:top w:w="18" w:type="dxa"/>
              <w:start w:w="30" w:type="dxa"/>
              <w:bottom w:w="18" w:type="dxa"/>
              <w:end w:w="30" w:type="dxa"/>
            </w:tcMar>
          </w:tcPr>
          <w:p>
            <w:r>
              <w:rPr>
                <w:sz w:val="18"/>
              </w:rPr>
              <w:t>• Board &amp; Executive Advisory</w:t>
            </w:r>
          </w:p>
        </w:tc>
        <w:tc>
          <w:tcPr>
            <w:tcW w:type="dxa" w:w="5328"/>
            <w:tcMar>
              <w:top w:w="18" w:type="dxa"/>
              <w:start w:w="30" w:type="dxa"/>
              <w:bottom w:w="18" w:type="dxa"/>
              <w:end w:w="30" w:type="dxa"/>
            </w:tcMar>
          </w:tcPr>
          <w:p>
            <w:r>
              <w:rPr>
                <w:sz w:val="18"/>
              </w:rPr>
              <w:t>• Vendor Strategy, Contract Negotiation &amp; Managed Services</w:t>
            </w:r>
          </w:p>
        </w:tc>
      </w:tr>
      <w:tr>
        <w:tc>
          <w:tcPr>
            <w:tcW w:type="dxa" w:w="5328"/>
            <w:tcMar>
              <w:top w:w="18" w:type="dxa"/>
              <w:start w:w="30" w:type="dxa"/>
              <w:bottom w:w="18" w:type="dxa"/>
              <w:end w:w="30" w:type="dxa"/>
            </w:tcMar>
          </w:tcPr>
          <w:p>
            <w:r>
              <w:rPr>
                <w:sz w:val="18"/>
              </w:rPr>
              <w:t>• Cloud &amp; Hybrid Infrastructure Modernization</w:t>
            </w:r>
          </w:p>
        </w:tc>
        <w:tc>
          <w:tcPr>
            <w:tcW w:type="dxa" w:w="5328"/>
            <w:tcMar>
              <w:top w:w="18" w:type="dxa"/>
              <w:start w:w="30" w:type="dxa"/>
              <w:bottom w:w="18" w:type="dxa"/>
              <w:end w:w="30" w:type="dxa"/>
            </w:tcMar>
          </w:tcPr>
          <w:p>
            <w:r>
              <w:rPr>
                <w:sz w:val="18"/>
              </w:rPr>
              <w:t>• Organizational Leadership &amp; Team Development</w:t>
            </w:r>
          </w:p>
        </w:tc>
      </w:tr>
    </w:tbl>
    <w:p>
      <w:pPr>
        <w:pStyle w:val="Heading1"/>
      </w:pPr>
      <w:r>
        <w:t>PROFESSIONAL EXPERIENCE</w:t>
      </w:r>
    </w:p>
    <w:p>
      <w:pPr>
        <w:spacing w:after="20"/>
      </w:pPr>
      <w:r>
        <w:rPr>
          <w:b/>
          <w:color w:val="17324D"/>
          <w:sz w:val="22"/>
        </w:rPr>
        <w:t>BRIDGER PHOTONICS</w:t>
      </w:r>
      <w:r>
        <w:t xml:space="preserve">  |  Director of Information Technology  |  2025–2026</w:t>
      </w:r>
    </w:p>
    <w:p>
      <w:r>
        <w:rPr>
          <w:i/>
        </w:rPr>
        <w:t>Brought in during a critical growth phase to establish enterprise IT strategy, cybersecurity, and governance capabilities aligned with business expansion.</w:t>
      </w:r>
    </w:p>
    <w:p>
      <w:pPr>
        <w:pStyle w:val="ListBullet"/>
        <w:spacing w:after="24"/>
        <w:ind w:left="230" w:hanging="173"/>
      </w:pPr>
      <w:r>
        <w:t>Led enterprise IT strategy and operating priorities, aligning technology investments with growth, scalability, and enterprise risk.</w:t>
      </w:r>
    </w:p>
    <w:p>
      <w:pPr>
        <w:pStyle w:val="ListBullet"/>
        <w:spacing w:after="24"/>
        <w:ind w:left="230" w:hanging="173"/>
      </w:pPr>
      <w:r>
        <w:t>Served as a trusted advisor to executive leadership on cybersecurity, compliance, digital transformation, and technology investment decisions.</w:t>
      </w:r>
    </w:p>
    <w:p>
      <w:pPr>
        <w:pStyle w:val="ListBullet"/>
        <w:spacing w:after="24"/>
        <w:ind w:left="230" w:hanging="173"/>
      </w:pPr>
      <w:r>
        <w:t>Built and owned the company’s first SOC 2 Type II program, achieving zero major findings.</w:t>
      </w:r>
    </w:p>
    <w:p>
      <w:pPr>
        <w:pStyle w:val="ListBullet"/>
        <w:spacing w:after="24"/>
        <w:ind w:left="230" w:hanging="173"/>
      </w:pPr>
      <w:r>
        <w:t>Established and matured GRC capabilities, enabling continuous compliance and improved risk visibility.</w:t>
      </w:r>
    </w:p>
    <w:p>
      <w:pPr>
        <w:pStyle w:val="ListBullet"/>
        <w:spacing w:after="24"/>
        <w:ind w:left="230" w:hanging="173"/>
      </w:pPr>
      <w:r>
        <w:t>Implemented a cybersecurity program aligned to NIST CSF, strengthening enterprise resilience and accountability.</w:t>
      </w:r>
    </w:p>
    <w:p>
      <w:pPr>
        <w:pStyle w:val="ListBullet"/>
        <w:spacing w:after="24"/>
        <w:ind w:left="230" w:hanging="173"/>
      </w:pPr>
      <w:r>
        <w:t>Oversaw hybrid cloud and on-premises infrastructure while advancing cost efficiency through FinOps and strategic vendor management.</w:t>
      </w:r>
    </w:p>
    <w:p>
      <w:pPr>
        <w:spacing w:after="20"/>
      </w:pPr>
      <w:r>
        <w:rPr>
          <w:b/>
          <w:color w:val="17324D"/>
          <w:sz w:val="22"/>
        </w:rPr>
        <w:t>AMERICAN PETROLEUM INSTITUTE</w:t>
      </w:r>
      <w:r>
        <w:t xml:space="preserve">  |  Director, IT Operations  |  2021–2025</w:t>
      </w:r>
    </w:p>
    <w:p>
      <w:r>
        <w:rPr>
          <w:i/>
        </w:rPr>
        <w:t>Led enterprise IT operations and transformation initiatives supporting mission-critical systems during a period of modernization and cost optimization.</w:t>
      </w:r>
    </w:p>
    <w:p>
      <w:pPr>
        <w:pStyle w:val="ListBullet"/>
        <w:spacing w:after="24"/>
        <w:ind w:left="230" w:hanging="173"/>
      </w:pPr>
      <w:r>
        <w:t>Directed IT strategy and operations aligned with organizational priorities in a nationally recognized association environment.</w:t>
      </w:r>
    </w:p>
    <w:p>
      <w:pPr>
        <w:pStyle w:val="ListBullet"/>
        <w:spacing w:after="24"/>
        <w:ind w:left="230" w:hanging="173"/>
      </w:pPr>
      <w:r>
        <w:t>Partnered with executive leadership to align technology capabilities, investment decisions, and service delivery with long-term strategy.</w:t>
      </w:r>
    </w:p>
    <w:p>
      <w:pPr>
        <w:pStyle w:val="ListBullet"/>
        <w:spacing w:after="24"/>
        <w:ind w:left="230" w:hanging="173"/>
      </w:pPr>
      <w:r>
        <w:t>Modernized infrastructure through cloud adoption, managed services transformation, and lifecycle planning.</w:t>
      </w:r>
    </w:p>
    <w:p>
      <w:pPr>
        <w:pStyle w:val="ListBullet"/>
        <w:spacing w:after="24"/>
        <w:ind w:left="230" w:hanging="173"/>
      </w:pPr>
      <w:r>
        <w:t>Implemented cybersecurity, audit-readiness, and compliance initiatives that strengthened enterprise risk posture.</w:t>
      </w:r>
    </w:p>
    <w:p>
      <w:pPr>
        <w:pStyle w:val="ListBullet"/>
        <w:spacing w:after="24"/>
        <w:ind w:left="230" w:hanging="173"/>
      </w:pPr>
      <w:r>
        <w:t>Delivered $1.2M in cost savings through vendor strategy, operating-model improvement, and technology optimization.</w:t>
      </w:r>
    </w:p>
    <w:p>
      <w:pPr>
        <w:pStyle w:val="ListBullet"/>
        <w:spacing w:after="24"/>
        <w:ind w:left="230" w:hanging="173"/>
      </w:pPr>
      <w:r>
        <w:t>Enhanced disaster recovery and incident response capabilities to improve resilience and continuity.</w:t>
      </w:r>
    </w:p>
    <w:p>
      <w:pPr>
        <w:spacing w:after="20"/>
      </w:pPr>
      <w:r>
        <w:rPr>
          <w:b/>
          <w:color w:val="17324D"/>
          <w:sz w:val="22"/>
        </w:rPr>
        <w:t>DYNEX TECHNOLOGIES / MAGELLAN BIOSCIENCES</w:t>
      </w:r>
      <w:r>
        <w:t xml:space="preserve">  |  Manager / Director of IT  |  2011–2021</w:t>
      </w:r>
    </w:p>
    <w:p>
      <w:r>
        <w:rPr>
          <w:i/>
        </w:rPr>
        <w:t>Progressive technology leadership across highly regulated biomedical, laboratory, manufacturing, and enterprise environments.</w:t>
      </w:r>
    </w:p>
    <w:p>
      <w:pPr>
        <w:pStyle w:val="ListBullet"/>
        <w:spacing w:after="24"/>
        <w:ind w:left="230" w:hanging="173"/>
      </w:pPr>
      <w:r>
        <w:t>Led IT strategy and operations supporting FDA- and GMP-regulated environments.</w:t>
      </w:r>
    </w:p>
    <w:p>
      <w:pPr>
        <w:pStyle w:val="ListBullet"/>
        <w:spacing w:after="24"/>
        <w:ind w:left="230" w:hanging="173"/>
      </w:pPr>
      <w:r>
        <w:t>Advised leadership on infrastructure, compliance, business growth, and operational transition priorities.</w:t>
      </w:r>
    </w:p>
    <w:p>
      <w:pPr>
        <w:pStyle w:val="ListBullet"/>
        <w:spacing w:after="24"/>
        <w:ind w:left="230" w:hanging="173"/>
      </w:pPr>
      <w:r>
        <w:t>Successfully supported five FDA/GMP audits with consistent positive outcomes.</w:t>
      </w:r>
    </w:p>
    <w:p>
      <w:pPr>
        <w:pStyle w:val="ListBullet"/>
        <w:spacing w:after="24"/>
        <w:ind w:left="230" w:hanging="173"/>
      </w:pPr>
      <w:r>
        <w:t>Designed and operated secure technology environments for laboratory and manufacturing systems.</w:t>
      </w:r>
    </w:p>
    <w:p>
      <w:pPr>
        <w:pStyle w:val="ListBullet"/>
        <w:spacing w:after="24"/>
        <w:ind w:left="230" w:hanging="173"/>
      </w:pPr>
      <w:r>
        <w:t>Led multiple divestitures and system transitions while maintaining continuity, security, and compliance.</w:t>
      </w:r>
    </w:p>
    <w:p>
      <w:pPr>
        <w:pStyle w:val="ListBullet"/>
        <w:spacing w:after="24"/>
        <w:ind w:left="230" w:hanging="173"/>
      </w:pPr>
      <w:r>
        <w:t>Drove cloud-first transformation and infrastructure modernization.</w:t>
      </w:r>
    </w:p>
    <w:p>
      <w:pPr>
        <w:pStyle w:val="ListBullet"/>
        <w:spacing w:after="24"/>
        <w:ind w:left="230" w:hanging="173"/>
      </w:pPr>
      <w:r>
        <w:t>Delivered $3.2M in cost savings through vendor strategy, platform optimization, and infrastructure transformation.</w:t>
      </w:r>
    </w:p>
    <w:p>
      <w:pPr>
        <w:pStyle w:val="Heading1"/>
      </w:pPr>
      <w:r>
        <w:t>GOVERNANCE, CYBERSECURITY &amp; RESILIENCE</w:t>
      </w:r>
    </w:p>
    <w:p>
      <w:pPr>
        <w:pStyle w:val="ListBullet"/>
        <w:spacing w:after="24"/>
        <w:ind w:left="230" w:hanging="173"/>
      </w:pPr>
      <w:r>
        <w:t>SOC 2 Type II: Full program and audit ownership; zero major findings.</w:t>
      </w:r>
    </w:p>
    <w:p>
      <w:pPr>
        <w:pStyle w:val="ListBullet"/>
        <w:spacing w:after="24"/>
        <w:ind w:left="230" w:hanging="173"/>
      </w:pPr>
      <w:r>
        <w:t>NIST CSF: Enterprise implementation across cybersecurity governance and operational domains.</w:t>
      </w:r>
    </w:p>
    <w:p>
      <w:pPr>
        <w:pStyle w:val="ListBullet"/>
        <w:spacing w:after="24"/>
        <w:ind w:left="230" w:hanging="173"/>
      </w:pPr>
      <w:r>
        <w:t>Regulatory Compliance: FDA, GMP, enterprise audit readiness, and controlled-environment technology practices.</w:t>
      </w:r>
    </w:p>
    <w:p>
      <w:pPr>
        <w:pStyle w:val="ListBullet"/>
        <w:spacing w:after="24"/>
        <w:ind w:left="230" w:hanging="173"/>
      </w:pPr>
      <w:r>
        <w:t>Risk Management: Enterprise risk assessments, mitigation planning, incident readiness, and executive reporting.</w:t>
      </w:r>
    </w:p>
    <w:p>
      <w:pPr>
        <w:pStyle w:val="ListBullet"/>
        <w:spacing w:after="24"/>
        <w:ind w:left="230" w:hanging="173"/>
      </w:pPr>
      <w:r>
        <w:t>Business Continuity: Disaster recovery planning, incident response, continuity strategy, and resilience improvement.</w:t>
      </w:r>
    </w:p>
    <w:p>
      <w:pPr>
        <w:pStyle w:val="Heading1"/>
      </w:pPr>
      <w:r>
        <w:t>BUSINESS &amp; FINANCIAL LEADERSHIP</w:t>
      </w:r>
    </w:p>
    <w:p>
      <w:pPr>
        <w:pStyle w:val="ListBullet"/>
        <w:spacing w:after="24"/>
        <w:ind w:left="230" w:hanging="173"/>
      </w:pPr>
      <w:r>
        <w:t>Delivered $11M+ in cumulative cost savings through transformation, vendor strategy, and financial discipline.</w:t>
      </w:r>
    </w:p>
    <w:p>
      <w:pPr>
        <w:pStyle w:val="ListBullet"/>
        <w:spacing w:after="24"/>
        <w:ind w:left="230" w:hanging="173"/>
      </w:pPr>
      <w:r>
        <w:t>Established financial governance practices that improved IT spend visibility, forecasting, and accountability.</w:t>
      </w:r>
    </w:p>
    <w:p>
      <w:pPr>
        <w:pStyle w:val="ListBullet"/>
        <w:spacing w:after="24"/>
        <w:ind w:left="230" w:hanging="173"/>
      </w:pPr>
      <w:r>
        <w:t>Applied FinOps principles to optimize cloud, infrastructure, and operational costs.</w:t>
      </w:r>
    </w:p>
    <w:p>
      <w:pPr>
        <w:pStyle w:val="ListBullet"/>
        <w:spacing w:after="24"/>
        <w:ind w:left="230" w:hanging="173"/>
      </w:pPr>
      <w:r>
        <w:t>Led vendor negotiations and contract strategies that generated multimillion-dollar efficiencies.</w:t>
      </w:r>
    </w:p>
    <w:p>
      <w:pPr>
        <w:pStyle w:val="Heading1"/>
      </w:pPr>
      <w:r>
        <w:t>TECHNOLOGY EXPERTISE</w:t>
      </w:r>
    </w:p>
    <w:p>
      <w:pPr>
        <w:spacing w:after="60"/>
      </w:pPr>
      <w:r>
        <w:t>Microsoft Azure | AWS | Microsoft Entra ID | Microsoft 365 | Cisco ASA | Cisco Meraki | Cisco Call Manager | Cloud &amp; Hybrid Infrastructure | Cybersecurity Platforms | Enterprise Systems | Network Architecture | Windows | macOS | Identity &amp; Access Management | Service Management | Disaster Recovery</w:t>
      </w:r>
    </w:p>
    <w:p>
      <w:pPr>
        <w:pStyle w:val="Heading1"/>
      </w:pPr>
      <w:r>
        <w:t>EDUCATION</w:t>
      </w:r>
    </w:p>
    <w:p>
      <w:pPr>
        <w:spacing w:after="0"/>
      </w:pPr>
      <w:r>
        <w:rPr>
          <w:b/>
        </w:rPr>
        <w:t>M.B.A., Global Business (In Progress)</w:t>
      </w:r>
      <w:r>
        <w:t xml:space="preserve"> — National University</w:t>
      </w:r>
    </w:p>
    <w:p>
      <w:pPr>
        <w:spacing w:after="0"/>
      </w:pPr>
      <w:r>
        <w:rPr>
          <w:b/>
        </w:rPr>
        <w:t>B.S., Business Administration, IT Management</w:t>
      </w:r>
      <w:r>
        <w:t xml:space="preserve"> — Western Governors University</w:t>
      </w:r>
    </w:p>
    <w:p>
      <w:pPr>
        <w:spacing w:after="0"/>
      </w:pPr>
      <w:r>
        <w:rPr>
          <w:b/>
        </w:rPr>
        <w:t>A.S., Audio Engineering Sciences</w:t>
      </w:r>
      <w:r>
        <w:t xml:space="preserve"> — Full Sail University</w:t>
      </w:r>
    </w:p>
    <w:p>
      <w:pPr>
        <w:pStyle w:val="Heading1"/>
      </w:pPr>
      <w:r>
        <w:t>CERTIFICATIONS &amp; PROFESSIONAL DEVELOPMENT</w:t>
      </w:r>
    </w:p>
    <w:tbl>
      <w:tblPr>
        <w:tblW w:type="auto" w:w="0"/>
        <w:tblLook w:firstColumn="1" w:firstRow="1" w:lastColumn="0" w:lastRow="0" w:noHBand="0" w:noVBand="1" w:val="04A0"/>
      </w:tblPr>
      <w:tblGrid>
        <w:gridCol w:w="5328"/>
        <w:gridCol w:w="5328"/>
      </w:tblGrid>
      <w:tr>
        <w:tc>
          <w:tcPr>
            <w:tcW w:type="dxa" w:w="5328"/>
            <w:tcMar>
              <w:top w:w="18" w:type="dxa"/>
              <w:start w:w="30" w:type="dxa"/>
              <w:bottom w:w="18" w:type="dxa"/>
              <w:end w:w="30" w:type="dxa"/>
            </w:tcMar>
          </w:tcPr>
          <w:p>
            <w:r>
              <w:t>• ISC2 Certified in Cybersecurity (CC)</w:t>
            </w:r>
          </w:p>
        </w:tc>
        <w:tc>
          <w:tcPr>
            <w:tcW w:type="dxa" w:w="5328"/>
            <w:tcMar>
              <w:top w:w="18" w:type="dxa"/>
              <w:start w:w="30" w:type="dxa"/>
              <w:bottom w:w="18" w:type="dxa"/>
              <w:end w:w="30" w:type="dxa"/>
            </w:tcMar>
          </w:tcPr>
          <w:p>
            <w:r>
              <w:t>• CompTIA Network+</w:t>
            </w:r>
          </w:p>
        </w:tc>
      </w:tr>
      <w:tr>
        <w:tc>
          <w:tcPr>
            <w:tcW w:type="dxa" w:w="5328"/>
            <w:tcMar>
              <w:top w:w="18" w:type="dxa"/>
              <w:start w:w="30" w:type="dxa"/>
              <w:bottom w:w="18" w:type="dxa"/>
              <w:end w:w="30" w:type="dxa"/>
            </w:tcMar>
          </w:tcPr>
          <w:p>
            <w:r>
              <w:t>• AI Mastery Certificate Program — Coursiv, May 2026</w:t>
            </w:r>
          </w:p>
        </w:tc>
        <w:tc>
          <w:tcPr>
            <w:tcW w:type="dxa" w:w="5328"/>
            <w:tcMar>
              <w:top w:w="18" w:type="dxa"/>
              <w:start w:w="30" w:type="dxa"/>
              <w:bottom w:w="18" w:type="dxa"/>
              <w:end w:w="30" w:type="dxa"/>
            </w:tcMar>
          </w:tcPr>
          <w:p>
            <w:r>
              <w:t>• CompTIA A+</w:t>
            </w:r>
          </w:p>
        </w:tc>
      </w:tr>
      <w:tr>
        <w:tc>
          <w:tcPr>
            <w:tcW w:type="dxa" w:w="5328"/>
            <w:tcMar>
              <w:top w:w="18" w:type="dxa"/>
              <w:start w:w="30" w:type="dxa"/>
              <w:bottom w:w="18" w:type="dxa"/>
              <w:end w:w="30" w:type="dxa"/>
            </w:tcMar>
          </w:tcPr>
          <w:p>
            <w:r>
              <w:t>• CompTIA Project+</w:t>
            </w:r>
          </w:p>
        </w:tc>
        <w:tc>
          <w:tcPr>
            <w:tcW w:type="dxa" w:w="5328"/>
            <w:tcMar>
              <w:top w:w="18" w:type="dxa"/>
              <w:start w:w="30" w:type="dxa"/>
              <w:bottom w:w="18" w:type="dxa"/>
              <w:end w:w="30" w:type="dxa"/>
            </w:tcMar>
          </w:tcPr>
          <w:p>
            <w:r>
              <w:t>• HP Certified Professional</w:t>
            </w:r>
          </w:p>
        </w:tc>
      </w:tr>
    </w:tbl>
    <w:p>
      <w:pPr>
        <w:pStyle w:val="Heading1"/>
      </w:pPr>
      <w:r>
        <w:t>PROFESSIONAL AFFILIATIONS</w:t>
      </w:r>
    </w:p>
    <w:p>
      <w:pPr>
        <w:spacing w:after="0"/>
      </w:pPr>
      <w:r>
        <w:t>Audio Engineering Society  |  National Society of Leadership and Success</w:t>
      </w:r>
    </w:p>
    <w:sectPr w:rsidR="00FC693F" w:rsidRPr="0006063C" w:rsidSect="00034616">
      <w:footerReference w:type="default" r:id="rId11"/>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6"/>
      </w:rPr>
      <w:t>Anthony L. Mitchell, Jr. | CIO Executive Resume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Display" w:hAnsi="Aptos Display"/>
      <w:b/>
      <w:bCs/>
      <w:color w:val="17324D"/>
      <w:sz w:val="23"/>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ptos Display" w:hAnsi="Aptos Display"/>
      <w:b/>
      <w:bCs/>
      <w:color w:val="2F5F8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anthony-mitchell-jr" TargetMode="External"/><Relationship Id="rId10" Type="http://schemas.openxmlformats.org/officeDocument/2006/relationships/hyperlink" Target="https://anthonymitchelljr.github.io/anthony-mitchell-executive/"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