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00" w:before="0"/>
      </w:pPr>
      <w:r>
        <w:rPr>
          <w:rFonts w:ascii="Arial" w:hAnsi="Arial"/>
          <w:b/>
          <w:color w:val="172235"/>
          <w:sz w:val="16"/>
        </w:rPr>
        <w:t>LAB 1 STUDENT HANDOUT   8 MINUTES   FICTIONAL CASE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73"/>
      </w:tblGrid>
      <w:tr>
        <w:tc>
          <w:tcPr>
            <w:tcW w:type="dxa" w:w="14573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38"/>
              </w:rPr>
              <w:t>Investigate a batch renamer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Decide what the tool should do before seeing its output. Then use evidence to identify one issue and design a retest. No coding or installation is needed.</w:t>
      </w:r>
    </w:p>
    <w:p>
      <w:pPr>
        <w:spacing w:after="100" w:before="0"/>
      </w:pPr>
      <w:r>
        <w:rPr>
          <w:rFonts w:ascii="Arial" w:hAnsi="Arial"/>
          <w:b w:val="0"/>
          <w:color w:val="172235"/>
          <w:sz w:val="20"/>
        </w:rPr>
        <w:t>Group ______   Reader ______   Recorder ______   Evidence checker ______   Reporter 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547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Task and scope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The button says Rename selected. Give only selected assets exactly one SM_ prefix. Preserve the rest of each name. Already-prefixed names and all unselected assets must stay unchanged.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312"/>
        <w:gridCol w:w="5040"/>
        <w:gridCol w:w="5040"/>
      </w:tblGrid>
      <w:tr>
        <w:trPr>
          <w:cantSplit/>
        </w:trPr>
        <w:tc>
          <w:tcPr>
            <w:tcW w:type="dxa" w:w="1152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Selected</w:t>
            </w:r>
          </w:p>
        </w:tc>
        <w:tc>
          <w:tcPr>
            <w:tcW w:type="dxa" w:w="3312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Starting name</w:t>
            </w:r>
          </w:p>
        </w:tc>
        <w:tc>
          <w:tcPr>
            <w:tcW w:type="dxa" w:w="5040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before reveal</w:t>
            </w:r>
          </w:p>
        </w:tc>
        <w:tc>
          <w:tcPr>
            <w:tcW w:type="dxa" w:w="5040"/>
            <w:shd w:fill="0A2D6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after reveal</w:t>
            </w:r>
          </w:p>
        </w:tc>
      </w:tr>
      <w:tr>
        <w:trPr>
          <w:trHeight w:val="504"/>
          <w:cantSplit/>
        </w:trPr>
        <w:tc>
          <w:tcPr>
            <w:tcW w:type="dxa" w:w="115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Yes</w:t>
            </w:r>
          </w:p>
        </w:tc>
        <w:tc>
          <w:tcPr>
            <w:tcW w:type="dxa" w:w="3312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crate_A</w:t>
            </w:r>
          </w:p>
        </w:tc>
        <w:tc>
          <w:tcPr>
            <w:tcW w:type="dxa" w:w="5040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040"/>
            <w:shd w:fill="E8EEF7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  <w:tr>
        <w:trPr>
          <w:trHeight w:val="504"/>
          <w:cantSplit/>
        </w:trPr>
        <w:tc>
          <w:tcPr>
            <w:tcW w:type="dxa" w:w="115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Yes</w:t>
            </w:r>
          </w:p>
        </w:tc>
        <w:tc>
          <w:tcPr>
            <w:tcW w:type="dxa" w:w="3312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crate_B</w:t>
            </w:r>
          </w:p>
        </w:tc>
        <w:tc>
          <w:tcPr>
            <w:tcW w:type="dxa" w:w="5040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040"/>
            <w:shd w:fill="E7F0FA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  <w:tr>
        <w:trPr>
          <w:trHeight w:val="504"/>
          <w:cantSplit/>
        </w:trPr>
        <w:tc>
          <w:tcPr>
            <w:tcW w:type="dxa" w:w="1152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Yes</w:t>
            </w:r>
          </w:p>
        </w:tc>
        <w:tc>
          <w:tcPr>
            <w:tcW w:type="dxa" w:w="3312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SM_crate_C</w:t>
            </w:r>
          </w:p>
        </w:tc>
        <w:tc>
          <w:tcPr>
            <w:tcW w:type="dxa" w:w="5040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040"/>
            <w:shd w:fill="E4F4F2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  <w:tr>
        <w:trPr>
          <w:trHeight w:val="504"/>
          <w:cantSplit/>
        </w:trPr>
        <w:tc>
          <w:tcPr>
            <w:tcW w:type="dxa" w:w="1152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No</w:t>
            </w:r>
          </w:p>
        </w:tc>
        <w:tc>
          <w:tcPr>
            <w:tcW w:type="dxa" w:w="3312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barrel_D</w:t>
            </w:r>
          </w:p>
        </w:tc>
        <w:tc>
          <w:tcPr>
            <w:tcW w:type="dxa" w:w="5040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  <w:tc>
          <w:tcPr>
            <w:tcW w:type="dxa" w:w="5040"/>
            <w:shd w:fill="EAF4E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2485"/>
      </w:tblGrid>
      <w:tr>
        <w:trPr>
          <w:trHeight w:val="691"/>
          <w:cantSplit/>
        </w:trPr>
        <w:tc>
          <w:tcPr>
            <w:tcW w:type="dxa" w:w="2088"/>
            <w:shd w:fill="0A2D6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1  Problem</w:t>
            </w:r>
          </w:p>
        </w:tc>
        <w:tc>
          <w:tcPr>
            <w:tcW w:type="dxa" w:w="12485"/>
            <w:shd w:fill="E8EEF7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Before the reveal: what must stay unchanged, and what evidence would make you trust the result?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075A9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2  Investigate</w:t>
            </w:r>
          </w:p>
        </w:tc>
        <w:tc>
          <w:tcPr>
            <w:tcW w:type="dxa" w:w="12485"/>
            <w:shd w:fill="E7F0F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After the reveal: With [input], I expected [result], but observed [result].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168A8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3  Intervention</w:t>
            </w:r>
          </w:p>
        </w:tc>
        <w:tc>
          <w:tcPr>
            <w:tcW w:type="dxa" w:w="12485"/>
            <w:shd w:fill="E4F4F2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What would you change first, and why? Separate the observed behavior from a guessed cause.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397B35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4  Impact</w:t>
            </w:r>
          </w:p>
        </w:tc>
        <w:tc>
          <w:tcPr>
            <w:tcW w:type="dxa" w:w="12485"/>
            <w:shd w:fill="EAF4E8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Retest: starting input + action + exact expected result, including the unselected asset.</w:t>
              <w:br/>
              <w:t>________________________________________________________________________________</w:t>
            </w:r>
          </w:p>
        </w:tc>
      </w:tr>
      <w:tr>
        <w:trPr>
          <w:trHeight w:val="691"/>
          <w:cantSplit/>
        </w:trPr>
        <w:tc>
          <w:tcPr>
            <w:tcW w:type="dxa" w:w="2088"/>
            <w:shd w:fill="C66C0A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5  Tradeoff</w:t>
            </w:r>
          </w:p>
        </w:tc>
        <w:tc>
          <w:tcPr>
            <w:tcW w:type="dxa" w:w="12485"/>
            <w:shd w:fill="FFF1DB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172235"/>
                <w:sz w:val="18"/>
              </w:rPr>
              <w:t>What remains unknown? Consider a second run, Undo or empty selection. What would testing it cost?</w:t>
              <w:br/>
              <w:t>________________________________________________________________________________</w:t>
            </w:r>
          </w:p>
        </w:tc>
      </w:tr>
    </w:tbl>
    <w:p>
      <w:pPr>
        <w:spacing w:after="100" w:before="0"/>
      </w:pPr>
      <w:r>
        <w:rPr>
          <w:rFonts w:ascii="Arial" w:hAnsi="Arial"/>
          <w:b w:val="0"/>
          <w:color w:val="172235"/>
          <w:sz w:val="4"/>
        </w:rPr>
      </w:r>
    </w:p>
    <w:p>
      <w:pPr>
        <w:spacing w:after="100" w:before="0"/>
      </w:pPr>
      <w:r>
        <w:rPr>
          <w:rFonts w:ascii="Arial" w:hAnsi="Arial"/>
          <w:b/>
          <w:color w:val="172235"/>
          <w:sz w:val="18"/>
        </w:rPr>
        <w:t>Prepare one 20-second finding. Keep your first judgment; revisit it during the UX discussion.</w:t>
      </w:r>
    </w:p>
    <w:sectPr>
      <w:footerReference w:type="default" r:id="rId22"/>
      <w:pgSz w:h="12240" w:w="15840" w:orient="landscape"/>
      <w:pgMar w:bottom="346" w:top="403" w:left="605" w:right="6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Week 7  |  Technical Art  |  Classroom working materials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235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dev.epicgames.com/documentation/en-us/unreal-engine/ik-rig-animation-retargeting-in-unreal-engine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dev.epicgames.com/documentation/en-us/unreal-engine/editor-utility-widgets-in-unreal-engine" TargetMode="External"/><Relationship Id="rId13" Type="http://schemas.openxmlformats.org/officeDocument/2006/relationships/hyperlink" Target="https://dev.epicgames.com/documentation/en-us/unreal-engine/creating-and-using-material-instances-in-unreal-engine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epicgames.com/documentation/en-us/unreal-engine/introduction-to-performance-profiling-and-configuration-in-unreal-engine" TargetMode="External"/><Relationship Id="rId15" Type="http://schemas.openxmlformats.org/officeDocument/2006/relationships/hyperlink" Target="https://dev.epicgames.com/documentation/unreal-engine/procedural-content-generation-framework-in-unreal-engine?lang=en-US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dev.epicgames.com/documentation/en-us/unreal-engine/texture-streaming-overview-for-unreal-engine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dev.epicgames.com/documentation/unreal-engine/fbx-static-mesh-pipeline-in-unreal-engine?lang=en-US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hyperlink" Target="https://www.documentation.beamng.com/modding/levels/level_creation/section1/" TargetMode="External"/><Relationship Id="rId8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7 Technical Art</dc:title>
  <cp:lastModifiedBy>python-docx</cp:lastModifiedBy>
  <cp:revision>1</cp:revision>
  <dcterms:modified xsi:type="dcterms:W3CDTF">2026-10-13T07:26:40Z</dcterms:modified>
  <dc:creator>Prof. Monteagudo</dc:creator>
  <dc:description/>
</cp:coreProperties>
</file>