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00" w:before="0"/>
      </w:pPr>
      <w:r>
        <w:rPr>
          <w:rFonts w:ascii="Arial" w:hAnsi="Arial"/>
          <w:b/>
          <w:color w:val="172235"/>
          <w:sz w:val="16"/>
        </w:rPr>
        <w:t>INSTRUCTOR GUIDE   1 OF 2</w:t>
      </w:r>
    </w:p>
    <w:tbl>
      <w:tblPr>
        <w:tblW w:type="auto" w:w="0"/>
        <w:tblLayout w:type="fixed"/>
        <w:tblLook w:firstColumn="1" w:firstRow="1" w:lastColumn="0" w:lastRow="0" w:noHBand="0" w:noVBand="1" w:val="04A0"/>
      </w:tblPr>
      <w:tblGrid>
        <w:gridCol w:w="14573"/>
      </w:tblGrid>
      <w:tr>
        <w:tc>
          <w:tcPr>
            <w:tcW w:type="dxa" w:w="14573"/>
            <w:shd w:fill="075A9E"/>
            <w:tcMar>
              <w:top w:w="45" w:type="dxa"/>
              <w:bottom w:w="45" w:type="dxa"/>
              <w:left w:w="90" w:type="dxa"/>
              <w:right w:w="90" w:type="dxa"/>
            </w:tcMar>
          </w:tcPr>
          <w:p>
            <w:pPr>
              <w:spacing w:after="0" w:before="0" w:line="240" w:lineRule="auto"/>
            </w:pPr>
            <w:r/>
            <w:r>
              <w:rPr>
                <w:rFonts w:ascii="Arial" w:hAnsi="Arial"/>
                <w:b/>
                <w:color w:val="FFFFFF"/>
                <w:sz w:val="38"/>
              </w:rPr>
              <w:t>Facilitate Lab 1</w:t>
            </w:r>
          </w:p>
        </w:tc>
      </w:tr>
    </w:tbl>
    <w:p>
      <w:pPr>
        <w:spacing w:after="100" w:before="0"/>
      </w:pPr>
      <w:r>
        <w:rPr>
          <w:rFonts w:ascii="Arial" w:hAnsi="Arial"/>
          <w:b w:val="0"/>
          <w:color w:val="172235"/>
          <w:sz w:val="20"/>
        </w:rPr>
        <w:t>Use the fictional renamer to establish evidence-based review before teaching UX vocabulary. Students compare a stated contract with visible behavior, then propose a test. Accept different priorities when the reasoning is supported.</w:t>
      </w:r>
    </w:p>
    <w:tbl>
      <w:tblPr>
        <w:tblW w:type="auto" w:w="0"/>
        <w:jc w:val="center"/>
        <w:tblLayout w:type="fixed"/>
        <w:tblLook w:firstColumn="1" w:firstRow="1" w:lastColumn="0" w:lastRow="0" w:noHBand="0" w:noVBand="1" w:val="04A0"/>
      </w:tblPr>
      <w:tblGrid>
        <w:gridCol w:w="1440"/>
        <w:gridCol w:w="13104"/>
      </w:tblGrid>
      <w:tr>
        <w:trPr>
          <w:cantSplit/>
        </w:trPr>
        <w:tc>
          <w:tcPr>
            <w:tcW w:type="dxa" w:w="1440"/>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Minute</w:t>
            </w:r>
          </w:p>
        </w:tc>
        <w:tc>
          <w:tcPr>
            <w:tcW w:type="dxa" w:w="13104"/>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Facilitation</w:t>
            </w:r>
          </w:p>
        </w:tc>
      </w:tr>
      <w:tr>
        <w:trPr>
          <w:cantSplit/>
        </w:trPr>
        <w:tc>
          <w:tcPr>
            <w:tcW w:type="dxa" w:w="1440"/>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0–1</w:t>
            </w:r>
          </w:p>
        </w:tc>
        <w:tc>
          <w:tcPr>
            <w:tcW w:type="dxa" w:w="13104"/>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Distribute one group sheet. Assign reader, recorder, evidence checker and reporter. Read the rule.</w:t>
            </w:r>
          </w:p>
        </w:tc>
      </w:tr>
      <w:tr>
        <w:trPr>
          <w:cantSplit/>
        </w:trPr>
        <w:tc>
          <w:tcPr>
            <w:tcW w:type="dxa" w:w="1440"/>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1–2</w:t>
            </w:r>
          </w:p>
        </w:tc>
        <w:tc>
          <w:tcPr>
            <w:tcW w:type="dxa" w:w="13104"/>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Individual prediction. Do not reveal results.</w:t>
            </w:r>
          </w:p>
        </w:tc>
      </w:tr>
      <w:tr>
        <w:trPr>
          <w:cantSplit/>
        </w:trPr>
        <w:tc>
          <w:tcPr>
            <w:tcW w:type="dxa" w:w="1440"/>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2–4</w:t>
            </w:r>
          </w:p>
        </w:tc>
        <w:tc>
          <w:tcPr>
            <w:tcW w:type="dxa" w:w="13104"/>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Compare expected names as a group. Check that protected scope is explicit.</w:t>
            </w:r>
          </w:p>
        </w:tc>
      </w:tr>
      <w:tr>
        <w:trPr>
          <w:cantSplit/>
        </w:trPr>
        <w:tc>
          <w:tcPr>
            <w:tcW w:type="dxa" w:w="1440"/>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4–5</w:t>
            </w:r>
          </w:p>
        </w:tc>
        <w:tc>
          <w:tcPr>
            <w:tcW w:type="dxa" w:w="13104"/>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Record what evidence would establish success.</w:t>
            </w:r>
          </w:p>
        </w:tc>
      </w:tr>
      <w:tr>
        <w:trPr>
          <w:cantSplit/>
        </w:trPr>
        <w:tc>
          <w:tcPr>
            <w:tcW w:type="dxa" w:w="1440"/>
            <w:shd w:fill="FFF1DB"/>
            <w:vAlign w:val="center"/>
            <w:tcMar>
              <w:top w:w="45" w:type="dxa"/>
              <w:bottom w:w="45" w:type="dxa"/>
              <w:left w:w="90" w:type="dxa"/>
              <w:right w:w="90" w:type="dxa"/>
            </w:tcMar>
          </w:tcPr>
          <w:p>
            <w:pPr>
              <w:spacing w:after="0" w:before="0" w:line="240" w:lineRule="auto"/>
            </w:pPr>
            <w:r/>
            <w:r>
              <w:rPr>
                <w:rFonts w:ascii="Arial" w:hAnsi="Arial"/>
                <w:b w:val="0"/>
                <w:color w:val="172235"/>
                <w:sz w:val="18"/>
              </w:rPr>
              <w:t>5–6</w:t>
            </w:r>
          </w:p>
        </w:tc>
        <w:tc>
          <w:tcPr>
            <w:tcW w:type="dxa" w:w="13104"/>
            <w:shd w:fill="FFF1DB"/>
            <w:vAlign w:val="center"/>
            <w:tcMar>
              <w:top w:w="45" w:type="dxa"/>
              <w:bottom w:w="45" w:type="dxa"/>
              <w:left w:w="90" w:type="dxa"/>
              <w:right w:w="90" w:type="dxa"/>
            </w:tcMar>
          </w:tcPr>
          <w:p>
            <w:pPr>
              <w:spacing w:after="0" w:before="0" w:line="240" w:lineRule="auto"/>
            </w:pPr>
            <w:r/>
            <w:r>
              <w:rPr>
                <w:rFonts w:ascii="Arial" w:hAnsi="Arial"/>
                <w:b w:val="0"/>
                <w:color w:val="172235"/>
                <w:sz w:val="18"/>
              </w:rPr>
              <w:t>Open reveal.html. Display the fictional “Success: 4 assets updated” message and results.</w:t>
            </w:r>
          </w:p>
        </w:tc>
      </w:tr>
      <w:tr>
        <w:trPr>
          <w:cantSplit/>
        </w:trPr>
        <w:tc>
          <w:tcPr>
            <w:tcW w:type="dxa" w:w="1440"/>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6–7</w:t>
            </w:r>
          </w:p>
        </w:tc>
        <w:tc>
          <w:tcPr>
            <w:tcW w:type="dxa" w:w="13104"/>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Write one supported finding and a retest.</w:t>
            </w:r>
          </w:p>
        </w:tc>
      </w:tr>
      <w:tr>
        <w:trPr>
          <w:cantSplit/>
        </w:trPr>
        <w:tc>
          <w:tcPr>
            <w:tcW w:type="dxa" w:w="1440"/>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7–8</w:t>
            </w:r>
          </w:p>
        </w:tc>
        <w:tc>
          <w:tcPr>
            <w:tcW w:type="dxa" w:w="13104"/>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Two 20-second reports, then 20 seconds for questions.</w:t>
            </w:r>
          </w:p>
        </w:tc>
      </w:tr>
    </w:tbl>
    <w:p>
      <w:pPr>
        <w:spacing w:after="100" w:before="0"/>
      </w:pPr>
      <w:r>
        <w:rPr>
          <w:rFonts w:ascii="Arial" w:hAnsi="Arial"/>
          <w:b w:val="0"/>
          <w:color w:val="172235"/>
          <w:sz w:val="4"/>
        </w:rPr>
      </w:r>
    </w:p>
    <w:tbl>
      <w:tblPr>
        <w:tblW w:type="auto" w:w="0"/>
        <w:jc w:val="center"/>
        <w:tblLayout w:type="fixed"/>
        <w:tblLook w:firstColumn="1" w:firstRow="1" w:lastColumn="0" w:lastRow="0" w:noHBand="0" w:noVBand="1" w:val="04A0"/>
      </w:tblPr>
      <w:tblGrid>
        <w:gridCol w:w="4608"/>
        <w:gridCol w:w="4896"/>
        <w:gridCol w:w="5040"/>
      </w:tblGrid>
      <w:tr>
        <w:trPr>
          <w:cantSplit/>
        </w:trPr>
        <w:tc>
          <w:tcPr>
            <w:tcW w:type="dxa" w:w="4608"/>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Input</w:t>
            </w:r>
          </w:p>
        </w:tc>
        <w:tc>
          <w:tcPr>
            <w:tcW w:type="dxa" w:w="4896"/>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Expected</w:t>
            </w:r>
          </w:p>
        </w:tc>
        <w:tc>
          <w:tcPr>
            <w:tcW w:type="dxa" w:w="5040"/>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Observed</w:t>
            </w:r>
          </w:p>
        </w:tc>
      </w:tr>
      <w:tr>
        <w:trPr>
          <w:cantSplit/>
        </w:trPr>
        <w:tc>
          <w:tcPr>
            <w:tcW w:type="dxa" w:w="4608"/>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crate_A selected</w:t>
            </w:r>
          </w:p>
        </w:tc>
        <w:tc>
          <w:tcPr>
            <w:tcW w:type="dxa" w:w="4896"/>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SM_crate_A</w:t>
            </w:r>
          </w:p>
        </w:tc>
        <w:tc>
          <w:tcPr>
            <w:tcW w:type="dxa" w:w="5040"/>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SM_crate_A</w:t>
            </w:r>
          </w:p>
        </w:tc>
      </w:tr>
      <w:tr>
        <w:trPr>
          <w:cantSplit/>
        </w:trPr>
        <w:tc>
          <w:tcPr>
            <w:tcW w:type="dxa" w:w="4608"/>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crate_B selected</w:t>
            </w:r>
          </w:p>
        </w:tc>
        <w:tc>
          <w:tcPr>
            <w:tcW w:type="dxa" w:w="4896"/>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SM_crate_B</w:t>
            </w:r>
          </w:p>
        </w:tc>
        <w:tc>
          <w:tcPr>
            <w:tcW w:type="dxa" w:w="5040"/>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SM_crate_B</w:t>
            </w:r>
          </w:p>
        </w:tc>
      </w:tr>
      <w:tr>
        <w:trPr>
          <w:cantSplit/>
        </w:trPr>
        <w:tc>
          <w:tcPr>
            <w:tcW w:type="dxa" w:w="4608"/>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SM_crate_C selected</w:t>
            </w:r>
          </w:p>
        </w:tc>
        <w:tc>
          <w:tcPr>
            <w:tcW w:type="dxa" w:w="4896"/>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SM_crate_C</w:t>
            </w:r>
          </w:p>
        </w:tc>
        <w:tc>
          <w:tcPr>
            <w:tcW w:type="dxa" w:w="5040"/>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SM_SM_crate_C</w:t>
            </w:r>
          </w:p>
        </w:tc>
      </w:tr>
      <w:tr>
        <w:trPr>
          <w:cantSplit/>
        </w:trPr>
        <w:tc>
          <w:tcPr>
            <w:tcW w:type="dxa" w:w="4608"/>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barrel_D unselected</w:t>
            </w:r>
          </w:p>
        </w:tc>
        <w:tc>
          <w:tcPr>
            <w:tcW w:type="dxa" w:w="4896"/>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barrel_D</w:t>
            </w:r>
          </w:p>
        </w:tc>
        <w:tc>
          <w:tcPr>
            <w:tcW w:type="dxa" w:w="5040"/>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SM_barrel_D</w:t>
            </w:r>
          </w:p>
        </w:tc>
      </w:tr>
    </w:tbl>
    <w:p>
      <w:pPr>
        <w:spacing w:after="100" w:before="0"/>
      </w:pPr>
      <w:r>
        <w:rPr>
          <w:rFonts w:ascii="Arial" w:hAnsi="Arial"/>
          <w:b w:val="0"/>
          <w:color w:val="172235"/>
          <w:sz w:val="4"/>
        </w:rPr>
      </w:r>
    </w:p>
    <w:tbl>
      <w:tblPr>
        <w:tblW w:type="auto" w:w="0"/>
        <w:tblLayout w:type="fixed"/>
        <w:tblLook w:firstColumn="1" w:firstRow="1" w:lastColumn="0" w:lastRow="0" w:noHBand="0" w:noVBand="1" w:val="04A0"/>
      </w:tblPr>
      <w:tblGrid>
        <w:gridCol w:w="2088"/>
        <w:gridCol w:w="12485"/>
      </w:tblGrid>
      <w:tr>
        <w:trPr>
          <w:trHeight w:val="547"/>
          <w:cantSplit/>
        </w:trPr>
        <w:tc>
          <w:tcPr>
            <w:tcW w:type="dxa" w:w="2088"/>
            <w:shd w:fill="0A2D62"/>
            <w:tcMar>
              <w:top w:w="45" w:type="dxa"/>
              <w:bottom w:w="45" w:type="dxa"/>
              <w:left w:w="90" w:type="dxa"/>
              <w:right w:w="90" w:type="dxa"/>
            </w:tcMar>
          </w:tcPr>
          <w:p>
            <w:pPr>
              <w:spacing w:after="0" w:before="0" w:line="240" w:lineRule="auto"/>
            </w:pPr>
            <w:r/>
            <w:r>
              <w:rPr>
                <w:rFonts w:ascii="Arial" w:hAnsi="Arial"/>
                <w:b/>
                <w:color w:val="FFFFFF"/>
                <w:sz w:val="20"/>
              </w:rPr>
              <w:t>Interpretation</w:t>
            </w:r>
          </w:p>
        </w:tc>
        <w:tc>
          <w:tcPr>
            <w:tcW w:type="dxa" w:w="12485"/>
            <w:shd w:fill="E8EEF7"/>
            <w:tcMar>
              <w:top w:w="45" w:type="dxa"/>
              <w:bottom w:w="45" w:type="dxa"/>
              <w:left w:w="90" w:type="dxa"/>
              <w:right w:w="90" w:type="dxa"/>
            </w:tcMar>
          </w:tcPr>
          <w:p>
            <w:pPr>
              <w:spacing w:after="0" w:before="0" w:line="240" w:lineRule="auto"/>
            </w:pPr>
            <w:r/>
            <w:r>
              <w:rPr>
                <w:rFonts w:ascii="Arial" w:hAnsi="Arial"/>
                <w:b w:val="0"/>
                <w:color w:val="172235"/>
                <w:sz w:val="18"/>
              </w:rPr>
              <w:t>The output violates both protected scope and the exactly-one-prefix rule. The success count alone proves neither. Internal cause, Undo, a second run and performance remain unknown.</w:t>
            </w:r>
          </w:p>
        </w:tc>
      </w:tr>
      <w:tr>
        <w:trPr>
          <w:trHeight w:val="547"/>
          <w:cantSplit/>
        </w:trPr>
        <w:tc>
          <w:tcPr>
            <w:tcW w:type="dxa" w:w="2088"/>
            <w:shd w:fill="075A9E"/>
            <w:tcMar>
              <w:top w:w="45" w:type="dxa"/>
              <w:bottom w:w="45" w:type="dxa"/>
              <w:left w:w="90" w:type="dxa"/>
              <w:right w:w="90" w:type="dxa"/>
            </w:tcMar>
          </w:tcPr>
          <w:p>
            <w:pPr>
              <w:spacing w:after="0" w:before="0" w:line="240" w:lineRule="auto"/>
            </w:pPr>
            <w:r/>
            <w:r>
              <w:rPr>
                <w:rFonts w:ascii="Arial" w:hAnsi="Arial"/>
                <w:b/>
                <w:color w:val="FFFFFF"/>
                <w:sz w:val="20"/>
              </w:rPr>
              <w:t>Model finding</w:t>
            </w:r>
          </w:p>
        </w:tc>
        <w:tc>
          <w:tcPr>
            <w:tcW w:type="dxa" w:w="12485"/>
            <w:shd w:fill="E7F0FA"/>
            <w:tcMar>
              <w:top w:w="45" w:type="dxa"/>
              <w:bottom w:w="45" w:type="dxa"/>
              <w:left w:w="90" w:type="dxa"/>
              <w:right w:w="90" w:type="dxa"/>
            </w:tcMar>
          </w:tcPr>
          <w:p>
            <w:pPr>
              <w:spacing w:after="0" w:before="0" w:line="240" w:lineRule="auto"/>
            </w:pPr>
            <w:r/>
            <w:r>
              <w:rPr>
                <w:rFonts w:ascii="Arial" w:hAnsi="Arial"/>
                <w:b w:val="0"/>
                <w:color w:val="172235"/>
                <w:sz w:val="18"/>
              </w:rPr>
              <w:t>With only the three crates selected, I expected barrel_D to stay unchanged, but it became SM_barrel_D. This changes unrelated work.</w:t>
            </w:r>
          </w:p>
        </w:tc>
      </w:tr>
      <w:tr>
        <w:trPr>
          <w:trHeight w:val="547"/>
          <w:cantSplit/>
        </w:trPr>
        <w:tc>
          <w:tcPr>
            <w:tcW w:type="dxa" w:w="2088"/>
            <w:shd w:fill="168A86"/>
            <w:tcMar>
              <w:top w:w="45" w:type="dxa"/>
              <w:bottom w:w="45" w:type="dxa"/>
              <w:left w:w="90" w:type="dxa"/>
              <w:right w:w="90" w:type="dxa"/>
            </w:tcMar>
          </w:tcPr>
          <w:p>
            <w:pPr>
              <w:spacing w:after="0" w:before="0" w:line="240" w:lineRule="auto"/>
            </w:pPr>
            <w:r/>
            <w:r>
              <w:rPr>
                <w:rFonts w:ascii="Arial" w:hAnsi="Arial"/>
                <w:b/>
                <w:color w:val="FFFFFF"/>
                <w:sz w:val="20"/>
              </w:rPr>
              <w:t>Model retest</w:t>
            </w:r>
          </w:p>
        </w:tc>
        <w:tc>
          <w:tcPr>
            <w:tcW w:type="dxa" w:w="12485"/>
            <w:shd w:fill="E4F4F2"/>
            <w:tcMar>
              <w:top w:w="45" w:type="dxa"/>
              <w:bottom w:w="45" w:type="dxa"/>
              <w:left w:w="90" w:type="dxa"/>
              <w:right w:w="90" w:type="dxa"/>
            </w:tcMar>
          </w:tcPr>
          <w:p>
            <w:pPr>
              <w:spacing w:after="0" w:before="0" w:line="240" w:lineRule="auto"/>
            </w:pPr>
            <w:r/>
            <w:r>
              <w:rPr>
                <w:rFonts w:ascii="Arial" w:hAnsi="Arial"/>
                <w:b w:val="0"/>
                <w:color w:val="172235"/>
                <w:sz w:val="18"/>
              </w:rPr>
              <w:t>Restore all four starting names; select only the crates; run once; inspect all four expected names above. Then propose a separate second-run test. Do not claim that test has occurred.</w:t>
            </w:r>
          </w:p>
        </w:tc>
      </w:tr>
      <w:tr>
        <w:trPr>
          <w:trHeight w:val="547"/>
          <w:cantSplit/>
        </w:trPr>
        <w:tc>
          <w:tcPr>
            <w:tcW w:type="dxa" w:w="2088"/>
            <w:shd w:fill="397B35"/>
            <w:tcMar>
              <w:top w:w="45" w:type="dxa"/>
              <w:bottom w:w="45" w:type="dxa"/>
              <w:left w:w="90" w:type="dxa"/>
              <w:right w:w="90" w:type="dxa"/>
            </w:tcMar>
          </w:tcPr>
          <w:p>
            <w:pPr>
              <w:spacing w:after="0" w:before="0" w:line="240" w:lineRule="auto"/>
            </w:pPr>
            <w:r/>
            <w:r>
              <w:rPr>
                <w:rFonts w:ascii="Arial" w:hAnsi="Arial"/>
                <w:b/>
                <w:color w:val="FFFFFF"/>
                <w:sz w:val="20"/>
              </w:rPr>
              <w:t>Acceptable alternatives</w:t>
            </w:r>
          </w:p>
        </w:tc>
        <w:tc>
          <w:tcPr>
            <w:tcW w:type="dxa" w:w="12485"/>
            <w:shd w:fill="EAF4E8"/>
            <w:tcMar>
              <w:top w:w="45" w:type="dxa"/>
              <w:bottom w:w="45" w:type="dxa"/>
              <w:left w:w="90" w:type="dxa"/>
              <w:right w:w="90" w:type="dxa"/>
            </w:tcMar>
          </w:tcPr>
          <w:p>
            <w:pPr>
              <w:spacing w:after="0" w:before="0" w:line="240" w:lineRule="auto"/>
            </w:pPr>
            <w:r/>
            <w:r>
              <w:rPr>
                <w:rFonts w:ascii="Arial" w:hAnsi="Arial"/>
                <w:b w:val="0"/>
                <w:color w:val="172235"/>
                <w:sz w:val="18"/>
              </w:rPr>
              <w:t>Prioritize scope because unrelated work changes, or the duplicate prefix because it violates the naming contract. Ask for the consequence and supporting observation, not a preferred phrase.</w:t>
            </w:r>
          </w:p>
        </w:tc>
      </w:tr>
      <w:tr>
        <w:trPr>
          <w:trHeight w:val="547"/>
          <w:cantSplit/>
        </w:trPr>
        <w:tc>
          <w:tcPr>
            <w:tcW w:type="dxa" w:w="2088"/>
            <w:shd w:fill="C66C0A"/>
            <w:tcMar>
              <w:top w:w="45" w:type="dxa"/>
              <w:bottom w:w="45" w:type="dxa"/>
              <w:left w:w="90" w:type="dxa"/>
              <w:right w:w="90" w:type="dxa"/>
            </w:tcMar>
          </w:tcPr>
          <w:p>
            <w:pPr>
              <w:spacing w:after="0" w:before="0" w:line="240" w:lineRule="auto"/>
            </w:pPr>
            <w:r/>
            <w:r>
              <w:rPr>
                <w:rFonts w:ascii="Arial" w:hAnsi="Arial"/>
                <w:b/>
                <w:color w:val="FFFFFF"/>
                <w:sz w:val="20"/>
              </w:rPr>
              <w:t>Discussion bridge</w:t>
            </w:r>
          </w:p>
        </w:tc>
        <w:tc>
          <w:tcPr>
            <w:tcW w:type="dxa" w:w="12485"/>
            <w:shd w:fill="FFF1DB"/>
            <w:tcMar>
              <w:top w:w="45" w:type="dxa"/>
              <w:bottom w:w="45" w:type="dxa"/>
              <w:left w:w="90" w:type="dxa"/>
              <w:right w:w="90" w:type="dxa"/>
            </w:tcMar>
          </w:tcPr>
          <w:p>
            <w:pPr>
              <w:spacing w:after="0" w:before="0" w:line="240" w:lineRule="auto"/>
            </w:pPr>
            <w:r/>
            <w:r>
              <w:rPr>
                <w:rFonts w:ascii="Arial" w:hAnsi="Arial"/>
                <w:b w:val="0"/>
                <w:color w:val="172235"/>
                <w:sz w:val="18"/>
              </w:rPr>
              <w:t>Which preview evidence could expose the mistake before Apply? What does a success message omit? Revisit first judgments during UX, then carry input/action/evidence/protected scope into peer review.</w:t>
            </w:r>
          </w:p>
        </w:tc>
      </w:tr>
    </w:tbl>
    <w:p>
      <w:pPr>
        <w:spacing w:after="100" w:before="0"/>
      </w:pPr>
      <w:r>
        <w:rPr>
          <w:rFonts w:ascii="Arial" w:hAnsi="Arial"/>
          <w:b w:val="0"/>
          <w:color w:val="172235"/>
          <w:sz w:val="4"/>
        </w:rPr>
      </w:r>
    </w:p>
    <w:p>
      <w:r>
        <w:br w:type="page"/>
      </w:r>
    </w:p>
    <w:p>
      <w:pPr>
        <w:spacing w:after="100" w:before="0"/>
      </w:pPr>
      <w:r>
        <w:rPr>
          <w:rFonts w:ascii="Arial" w:hAnsi="Arial"/>
          <w:b/>
          <w:color w:val="172235"/>
          <w:sz w:val="16"/>
        </w:rPr>
        <w:t>INSTRUCTOR GUIDE   2 OF 2</w:t>
      </w:r>
    </w:p>
    <w:tbl>
      <w:tblPr>
        <w:tblW w:type="auto" w:w="0"/>
        <w:tblLayout w:type="fixed"/>
        <w:tblLook w:firstColumn="1" w:firstRow="1" w:lastColumn="0" w:lastRow="0" w:noHBand="0" w:noVBand="1" w:val="04A0"/>
      </w:tblPr>
      <w:tblGrid>
        <w:gridCol w:w="14573"/>
      </w:tblGrid>
      <w:tr>
        <w:tc>
          <w:tcPr>
            <w:tcW w:type="dxa" w:w="14573"/>
            <w:shd w:fill="075A9E"/>
            <w:tcMar>
              <w:top w:w="45" w:type="dxa"/>
              <w:bottom w:w="45" w:type="dxa"/>
              <w:left w:w="90" w:type="dxa"/>
              <w:right w:w="90" w:type="dxa"/>
            </w:tcMar>
          </w:tcPr>
          <w:p>
            <w:pPr>
              <w:spacing w:after="0" w:before="0" w:line="240" w:lineRule="auto"/>
            </w:pPr>
            <w:r/>
            <w:r>
              <w:rPr>
                <w:rFonts w:ascii="Arial" w:hAnsi="Arial"/>
                <w:b/>
                <w:color w:val="FFFFFF"/>
                <w:sz w:val="38"/>
              </w:rPr>
              <w:t>Facilitate reciprocal peer reviews</w:t>
            </w:r>
          </w:p>
        </w:tc>
      </w:tr>
    </w:tbl>
    <w:p>
      <w:pPr>
        <w:spacing w:after="100" w:before="0"/>
      </w:pPr>
      <w:r>
        <w:rPr>
          <w:rFonts w:ascii="Arial" w:hAnsi="Arial"/>
          <w:b w:val="0"/>
          <w:color w:val="172235"/>
          <w:sz w:val="20"/>
        </w:rPr>
        <w:t>Protect task preparation and complete attempts. Form groups of four, assign A–D, and keep tools on their prepared machines. Each pair tests in both directions. The later letter tests the earlier letter’s tool first.</w:t>
      </w:r>
    </w:p>
    <w:tbl>
      <w:tblPr>
        <w:tblW w:type="auto" w:w="0"/>
        <w:jc w:val="center"/>
        <w:tblLayout w:type="fixed"/>
        <w:tblLook w:firstColumn="1" w:firstRow="1" w:lastColumn="0" w:lastRow="0" w:noHBand="0" w:noVBand="1" w:val="04A0"/>
      </w:tblPr>
      <w:tblGrid>
        <w:gridCol w:w="2160"/>
        <w:gridCol w:w="12384"/>
      </w:tblGrid>
      <w:tr>
        <w:trPr>
          <w:cantSplit/>
        </w:trPr>
        <w:tc>
          <w:tcPr>
            <w:tcW w:type="dxa" w:w="2160"/>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Time</w:t>
            </w:r>
          </w:p>
        </w:tc>
        <w:tc>
          <w:tcPr>
            <w:tcW w:type="dxa" w:w="12384"/>
            <w:shd w:fill="0A2D62"/>
            <w:vAlign w:val="center"/>
            <w:tcMar>
              <w:top w:w="45" w:type="dxa"/>
              <w:bottom w:w="45" w:type="dxa"/>
              <w:left w:w="90" w:type="dxa"/>
              <w:right w:w="90" w:type="dxa"/>
            </w:tcMar>
          </w:tcPr>
          <w:p>
            <w:pPr>
              <w:spacing w:after="0" w:before="0" w:line="240" w:lineRule="auto"/>
            </w:pPr>
            <w:r/>
            <w:r>
              <w:rPr>
                <w:rFonts w:ascii="Arial" w:hAnsi="Arial"/>
                <w:b/>
                <w:color w:val="FFFFFF"/>
                <w:sz w:val="18"/>
              </w:rPr>
              <w:t>Pairing or action</w:t>
            </w:r>
          </w:p>
        </w:tc>
      </w:tr>
      <w:tr>
        <w:trPr>
          <w:cantSplit/>
        </w:trPr>
        <w:tc>
          <w:tcPr>
            <w:tcW w:type="dxa" w:w="2160"/>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5:16–5:20</w:t>
            </w:r>
          </w:p>
        </w:tc>
        <w:tc>
          <w:tcPr>
            <w:tcW w:type="dxa" w:w="12384"/>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Prepare one bounded task and a fallback.</w:t>
            </w:r>
          </w:p>
        </w:tc>
      </w:tr>
      <w:tr>
        <w:trPr>
          <w:cantSplit/>
        </w:trPr>
        <w:tc>
          <w:tcPr>
            <w:tcW w:type="dxa" w:w="2160"/>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5:20–5:23</w:t>
            </w:r>
          </w:p>
        </w:tc>
        <w:tc>
          <w:tcPr>
            <w:tcW w:type="dxa" w:w="12384"/>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Brief roles and modes, confirm letters and answer questions.</w:t>
            </w:r>
          </w:p>
        </w:tc>
      </w:tr>
      <w:tr>
        <w:trPr>
          <w:cantSplit/>
        </w:trPr>
        <w:tc>
          <w:tcPr>
            <w:tcW w:type="dxa" w:w="2160"/>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5:23–5:33</w:t>
            </w:r>
          </w:p>
        </w:tc>
        <w:tc>
          <w:tcPr>
            <w:tcW w:type="dxa" w:w="12384"/>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Round 1: A–B and C–D.</w:t>
            </w:r>
          </w:p>
        </w:tc>
      </w:tr>
      <w:tr>
        <w:trPr>
          <w:cantSplit/>
        </w:trPr>
        <w:tc>
          <w:tcPr>
            <w:tcW w:type="dxa" w:w="2160"/>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5:33–5:34</w:t>
            </w:r>
          </w:p>
        </w:tc>
        <w:tc>
          <w:tcPr>
            <w:tcW w:type="dxa" w:w="12384"/>
            <w:shd w:fill="EAF4E8"/>
            <w:vAlign w:val="center"/>
            <w:tcMar>
              <w:top w:w="45" w:type="dxa"/>
              <w:bottom w:w="45" w:type="dxa"/>
              <w:left w:w="90" w:type="dxa"/>
              <w:right w:w="90" w:type="dxa"/>
            </w:tcMar>
          </w:tcPr>
          <w:p>
            <w:pPr>
              <w:spacing w:after="0" w:before="0" w:line="240" w:lineRule="auto"/>
            </w:pPr>
            <w:r/>
            <w:r>
              <w:rPr>
                <w:rFonts w:ascii="Arial" w:hAnsi="Arial"/>
                <w:b w:val="0"/>
                <w:color w:val="172235"/>
                <w:sz w:val="18"/>
              </w:rPr>
              <w:t>Switch partners.</w:t>
            </w:r>
          </w:p>
        </w:tc>
      </w:tr>
      <w:tr>
        <w:trPr>
          <w:cantSplit/>
        </w:trPr>
        <w:tc>
          <w:tcPr>
            <w:tcW w:type="dxa" w:w="2160"/>
            <w:shd w:fill="FFF1DB"/>
            <w:vAlign w:val="center"/>
            <w:tcMar>
              <w:top w:w="45" w:type="dxa"/>
              <w:bottom w:w="45" w:type="dxa"/>
              <w:left w:w="90" w:type="dxa"/>
              <w:right w:w="90" w:type="dxa"/>
            </w:tcMar>
          </w:tcPr>
          <w:p>
            <w:pPr>
              <w:spacing w:after="0" w:before="0" w:line="240" w:lineRule="auto"/>
            </w:pPr>
            <w:r/>
            <w:r>
              <w:rPr>
                <w:rFonts w:ascii="Arial" w:hAnsi="Arial"/>
                <w:b w:val="0"/>
                <w:color w:val="172235"/>
                <w:sz w:val="18"/>
              </w:rPr>
              <w:t>5:34–5:44</w:t>
            </w:r>
          </w:p>
        </w:tc>
        <w:tc>
          <w:tcPr>
            <w:tcW w:type="dxa" w:w="12384"/>
            <w:shd w:fill="FFF1DB"/>
            <w:vAlign w:val="center"/>
            <w:tcMar>
              <w:top w:w="45" w:type="dxa"/>
              <w:bottom w:w="45" w:type="dxa"/>
              <w:left w:w="90" w:type="dxa"/>
              <w:right w:w="90" w:type="dxa"/>
            </w:tcMar>
          </w:tcPr>
          <w:p>
            <w:pPr>
              <w:spacing w:after="0" w:before="0" w:line="240" w:lineRule="auto"/>
            </w:pPr>
            <w:r/>
            <w:r>
              <w:rPr>
                <w:rFonts w:ascii="Arial" w:hAnsi="Arial"/>
                <w:b w:val="0"/>
                <w:color w:val="172235"/>
                <w:sz w:val="18"/>
              </w:rPr>
              <w:t>Round 2: A–C and B–D.</w:t>
            </w:r>
          </w:p>
        </w:tc>
      </w:tr>
      <w:tr>
        <w:trPr>
          <w:cantSplit/>
        </w:trPr>
        <w:tc>
          <w:tcPr>
            <w:tcW w:type="dxa" w:w="2160"/>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5:44–5:45</w:t>
            </w:r>
          </w:p>
        </w:tc>
        <w:tc>
          <w:tcPr>
            <w:tcW w:type="dxa" w:w="12384"/>
            <w:shd w:fill="E8EEF7"/>
            <w:vAlign w:val="center"/>
            <w:tcMar>
              <w:top w:w="45" w:type="dxa"/>
              <w:bottom w:w="45" w:type="dxa"/>
              <w:left w:w="90" w:type="dxa"/>
              <w:right w:w="90" w:type="dxa"/>
            </w:tcMar>
          </w:tcPr>
          <w:p>
            <w:pPr>
              <w:spacing w:after="0" w:before="0" w:line="240" w:lineRule="auto"/>
            </w:pPr>
            <w:r/>
            <w:r>
              <w:rPr>
                <w:rFonts w:ascii="Arial" w:hAnsi="Arial"/>
                <w:b w:val="0"/>
                <w:color w:val="172235"/>
                <w:sz w:val="18"/>
              </w:rPr>
              <w:t>Switch partners.</w:t>
            </w:r>
          </w:p>
        </w:tc>
      </w:tr>
      <w:tr>
        <w:trPr>
          <w:cantSplit/>
        </w:trPr>
        <w:tc>
          <w:tcPr>
            <w:tcW w:type="dxa" w:w="2160"/>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5:45–5:55</w:t>
            </w:r>
          </w:p>
        </w:tc>
        <w:tc>
          <w:tcPr>
            <w:tcW w:type="dxa" w:w="12384"/>
            <w:shd w:fill="E7F0FA"/>
            <w:vAlign w:val="center"/>
            <w:tcMar>
              <w:top w:w="45" w:type="dxa"/>
              <w:bottom w:w="45" w:type="dxa"/>
              <w:left w:w="90" w:type="dxa"/>
              <w:right w:w="90" w:type="dxa"/>
            </w:tcMar>
          </w:tcPr>
          <w:p>
            <w:pPr>
              <w:spacing w:after="0" w:before="0" w:line="240" w:lineRule="auto"/>
            </w:pPr>
            <w:r/>
            <w:r>
              <w:rPr>
                <w:rFonts w:ascii="Arial" w:hAnsi="Arial"/>
                <w:b w:val="0"/>
                <w:color w:val="172235"/>
                <w:sz w:val="18"/>
              </w:rPr>
              <w:t>Round 3: A–D and B–C.</w:t>
            </w:r>
          </w:p>
        </w:tc>
      </w:tr>
      <w:tr>
        <w:trPr>
          <w:cantSplit/>
        </w:trPr>
        <w:tc>
          <w:tcPr>
            <w:tcW w:type="dxa" w:w="2160"/>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5:55–6:00</w:t>
            </w:r>
          </w:p>
        </w:tc>
        <w:tc>
          <w:tcPr>
            <w:tcW w:type="dxa" w:w="12384"/>
            <w:shd w:fill="E4F4F2"/>
            <w:vAlign w:val="center"/>
            <w:tcMar>
              <w:top w:w="45" w:type="dxa"/>
              <w:bottom w:w="45" w:type="dxa"/>
              <w:left w:w="90" w:type="dxa"/>
              <w:right w:w="90" w:type="dxa"/>
            </w:tcMar>
          </w:tcPr>
          <w:p>
            <w:pPr>
              <w:spacing w:after="0" w:before="0" w:line="240" w:lineRule="auto"/>
            </w:pPr>
            <w:r/>
            <w:r>
              <w:rPr>
                <w:rFonts w:ascii="Arial" w:hAnsi="Arial"/>
                <w:b w:val="0"/>
                <w:color w:val="172235"/>
                <w:sz w:val="18"/>
              </w:rPr>
              <w:t>Read reviews; choose priority, revision and retest; record changed judgment.</w:t>
            </w:r>
          </w:p>
        </w:tc>
      </w:tr>
    </w:tbl>
    <w:p>
      <w:pPr>
        <w:spacing w:after="100" w:before="0"/>
      </w:pPr>
      <w:r>
        <w:rPr>
          <w:rFonts w:ascii="Arial" w:hAnsi="Arial"/>
          <w:b w:val="0"/>
          <w:color w:val="172235"/>
          <w:sz w:val="4"/>
        </w:rPr>
      </w:r>
    </w:p>
    <w:p>
      <w:pPr>
        <w:spacing w:after="100" w:before="0"/>
      </w:pPr>
      <w:r>
        <w:rPr>
          <w:rFonts w:ascii="Arial" w:hAnsi="Arial"/>
          <w:b/>
          <w:color w:val="172235"/>
          <w:sz w:val="20"/>
        </w:rPr>
        <w:t>Call every round: 0:00 state task; 0:30 attempt; 2:30 record; 3:30 explain; 4:00 swap; 4:30 attempt; 6:30 record; 7:30 explain; 8:00 finish and reset; 10:00 switch.</w:t>
      </w:r>
    </w:p>
    <w:tbl>
      <w:tblPr>
        <w:tblW w:type="auto" w:w="0"/>
        <w:tblLayout w:type="fixed"/>
        <w:tblLook w:firstColumn="1" w:firstRow="1" w:lastColumn="0" w:lastRow="0" w:noHBand="0" w:noVBand="1" w:val="04A0"/>
      </w:tblPr>
      <w:tblGrid>
        <w:gridCol w:w="2088"/>
        <w:gridCol w:w="12485"/>
      </w:tblGrid>
      <w:tr>
        <w:trPr>
          <w:trHeight w:val="547"/>
          <w:cantSplit/>
        </w:trPr>
        <w:tc>
          <w:tcPr>
            <w:tcW w:type="dxa" w:w="2088"/>
            <w:shd w:fill="0A2D62"/>
            <w:tcMar>
              <w:top w:w="45" w:type="dxa"/>
              <w:bottom w:w="45" w:type="dxa"/>
              <w:left w:w="90" w:type="dxa"/>
              <w:right w:w="90" w:type="dxa"/>
            </w:tcMar>
          </w:tcPr>
          <w:p>
            <w:pPr>
              <w:spacing w:after="0" w:before="0" w:line="240" w:lineRule="auto"/>
            </w:pPr>
            <w:r/>
            <w:r>
              <w:rPr>
                <w:rFonts w:ascii="Arial" w:hAnsi="Arial"/>
                <w:b/>
                <w:color w:val="FFFFFF"/>
                <w:sz w:val="20"/>
              </w:rPr>
              <w:t>Setup</w:t>
            </w:r>
          </w:p>
        </w:tc>
        <w:tc>
          <w:tcPr>
            <w:tcW w:type="dxa" w:w="12485"/>
            <w:shd w:fill="E8EEF7"/>
            <w:tcMar>
              <w:top w:w="45" w:type="dxa"/>
              <w:bottom w:w="45" w:type="dxa"/>
              <w:left w:w="90" w:type="dxa"/>
              <w:right w:w="90" w:type="dxa"/>
            </w:tcMar>
          </w:tcPr>
          <w:p>
            <w:pPr>
              <w:spacing w:after="0" w:before="0" w:line="240" w:lineRule="auto"/>
            </w:pPr>
            <w:r/>
            <w:r>
              <w:rPr>
                <w:rFonts w:ascii="Arial" w:hAnsi="Arial"/>
                <w:b w:val="0"/>
                <w:color w:val="172235"/>
                <w:sz w:val="18"/>
              </w:rPr>
              <w:t>Per student: preparation page, three copies of review page, synthesis page. One Lab 1 sheet per group. Display dashboard.html. Example for 24: six groups, 72 review sheets; roster is not assumed.</w:t>
            </w:r>
          </w:p>
        </w:tc>
      </w:tr>
      <w:tr>
        <w:trPr>
          <w:trHeight w:val="547"/>
          <w:cantSplit/>
        </w:trPr>
        <w:tc>
          <w:tcPr>
            <w:tcW w:type="dxa" w:w="2088"/>
            <w:shd w:fill="075A9E"/>
            <w:tcMar>
              <w:top w:w="45" w:type="dxa"/>
              <w:bottom w:w="45" w:type="dxa"/>
              <w:left w:w="90" w:type="dxa"/>
              <w:right w:w="90" w:type="dxa"/>
            </w:tcMar>
          </w:tcPr>
          <w:p>
            <w:pPr>
              <w:spacing w:after="0" w:before="0" w:line="240" w:lineRule="auto"/>
            </w:pPr>
            <w:r/>
            <w:r>
              <w:rPr>
                <w:rFonts w:ascii="Arial" w:hAnsi="Arial"/>
                <w:b/>
                <w:color w:val="FFFFFF"/>
                <w:sz w:val="20"/>
              </w:rPr>
              <w:t>Coach evidence</w:t>
            </w:r>
          </w:p>
        </w:tc>
        <w:tc>
          <w:tcPr>
            <w:tcW w:type="dxa" w:w="12485"/>
            <w:shd w:fill="E7F0FA"/>
            <w:tcMar>
              <w:top w:w="45" w:type="dxa"/>
              <w:bottom w:w="45" w:type="dxa"/>
              <w:left w:w="90" w:type="dxa"/>
              <w:right w:w="90" w:type="dxa"/>
            </w:tcMar>
          </w:tcPr>
          <w:p>
            <w:pPr>
              <w:spacing w:after="0" w:before="0" w:line="240" w:lineRule="auto"/>
            </w:pPr>
            <w:r/>
            <w:r>
              <w:rPr>
                <w:rFonts w:ascii="Arial" w:hAnsi="Arial"/>
                <w:b w:val="0"/>
                <w:color w:val="172235"/>
                <w:sz w:val="18"/>
              </w:rPr>
              <w:t>“What did you expect, what happened, and why does it matter?” Record author help. A strength needs evidence too. If no fault is observed, propose a test rather than invent a defect.</w:t>
            </w:r>
          </w:p>
        </w:tc>
      </w:tr>
      <w:tr>
        <w:trPr>
          <w:trHeight w:val="547"/>
          <w:cantSplit/>
        </w:trPr>
        <w:tc>
          <w:tcPr>
            <w:tcW w:type="dxa" w:w="2088"/>
            <w:shd w:fill="168A86"/>
            <w:tcMar>
              <w:top w:w="45" w:type="dxa"/>
              <w:bottom w:w="45" w:type="dxa"/>
              <w:left w:w="90" w:type="dxa"/>
              <w:right w:w="90" w:type="dxa"/>
            </w:tcMar>
          </w:tcPr>
          <w:p>
            <w:pPr>
              <w:spacing w:after="0" w:before="0" w:line="240" w:lineRule="auto"/>
            </w:pPr>
            <w:r/>
            <w:r>
              <w:rPr>
                <w:rFonts w:ascii="Arial" w:hAnsi="Arial"/>
                <w:b/>
                <w:color w:val="FFFFFF"/>
                <w:sz w:val="20"/>
              </w:rPr>
              <w:t>Handle blockers</w:t>
            </w:r>
          </w:p>
        </w:tc>
        <w:tc>
          <w:tcPr>
            <w:tcW w:type="dxa" w:w="12485"/>
            <w:shd w:fill="E4F4F2"/>
            <w:tcMar>
              <w:top w:w="45" w:type="dxa"/>
              <w:bottom w:w="45" w:type="dxa"/>
              <w:left w:w="90" w:type="dxa"/>
              <w:right w:w="90" w:type="dxa"/>
            </w:tcMar>
          </w:tcPr>
          <w:p>
            <w:pPr>
              <w:spacing w:after="0" w:before="0" w:line="240" w:lineRule="auto"/>
            </w:pPr>
            <w:r/>
            <w:r>
              <w:rPr>
                <w:rFonts w:ascii="Arial" w:hAnsi="Arial"/>
                <w:b w:val="0"/>
                <w:color w:val="172235"/>
                <w:sz w:val="18"/>
              </w:rPr>
              <w:t>Allow at most one minute of troubleshooting within the attempt, then declare blocked and switch to recording or concept. Stop risks to real work. No software installation during rounds.</w:t>
            </w:r>
          </w:p>
        </w:tc>
      </w:tr>
      <w:tr>
        <w:trPr>
          <w:trHeight w:val="547"/>
          <w:cantSplit/>
        </w:trPr>
        <w:tc>
          <w:tcPr>
            <w:tcW w:type="dxa" w:w="2088"/>
            <w:shd w:fill="397B35"/>
            <w:tcMar>
              <w:top w:w="45" w:type="dxa"/>
              <w:bottom w:w="45" w:type="dxa"/>
              <w:left w:w="90" w:type="dxa"/>
              <w:right w:w="90" w:type="dxa"/>
            </w:tcMar>
          </w:tcPr>
          <w:p>
            <w:pPr>
              <w:spacing w:after="0" w:before="0" w:line="240" w:lineRule="auto"/>
            </w:pPr>
            <w:r/>
            <w:r>
              <w:rPr>
                <w:rFonts w:ascii="Arial" w:hAnsi="Arial"/>
                <w:b/>
                <w:color w:val="FFFFFF"/>
                <w:sz w:val="20"/>
              </w:rPr>
              <w:t>Attendance</w:t>
            </w:r>
          </w:p>
        </w:tc>
        <w:tc>
          <w:tcPr>
            <w:tcW w:type="dxa" w:w="12485"/>
            <w:shd w:fill="EAF4E8"/>
            <w:tcMar>
              <w:top w:w="45" w:type="dxa"/>
              <w:bottom w:w="45" w:type="dxa"/>
              <w:left w:w="90" w:type="dxa"/>
              <w:right w:w="90" w:type="dxa"/>
            </w:tcMar>
          </w:tcPr>
          <w:p>
            <w:pPr>
              <w:spacing w:after="0" w:before="0" w:line="240" w:lineRule="auto"/>
            </w:pPr>
            <w:r/>
            <w:r>
              <w:rPr>
                <w:rFonts w:ascii="Arial" w:hAnsi="Arial"/>
                <w:b w:val="0"/>
                <w:color w:val="172235"/>
                <w:sz w:val="18"/>
              </w:rPr>
              <w:t>Trio: A–B, A–C, B–C; third observes, each gets two distinct reviews. Five: A–B/C–D; A–C/B–E; A–D/C–E. A/C get three; B/D/E get two. Do not count observers or repeated partners as new reviewers.</w:t>
            </w:r>
          </w:p>
        </w:tc>
      </w:tr>
      <w:tr>
        <w:trPr>
          <w:trHeight w:val="547"/>
          <w:cantSplit/>
        </w:trPr>
        <w:tc>
          <w:tcPr>
            <w:tcW w:type="dxa" w:w="2088"/>
            <w:shd w:fill="C66C0A"/>
            <w:tcMar>
              <w:top w:w="45" w:type="dxa"/>
              <w:bottom w:w="45" w:type="dxa"/>
              <w:left w:w="90" w:type="dxa"/>
              <w:right w:w="90" w:type="dxa"/>
            </w:tcMar>
          </w:tcPr>
          <w:p>
            <w:pPr>
              <w:spacing w:after="0" w:before="0" w:line="240" w:lineRule="auto"/>
            </w:pPr>
            <w:r/>
            <w:r>
              <w:rPr>
                <w:rFonts w:ascii="Arial" w:hAnsi="Arial"/>
                <w:b/>
                <w:color w:val="FFFFFF"/>
                <w:sz w:val="20"/>
              </w:rPr>
              <w:t>Protect the close</w:t>
            </w:r>
          </w:p>
        </w:tc>
        <w:tc>
          <w:tcPr>
            <w:tcW w:type="dxa" w:w="12485"/>
            <w:shd w:fill="FFF1DB"/>
            <w:tcMar>
              <w:top w:w="45" w:type="dxa"/>
              <w:bottom w:w="45" w:type="dxa"/>
              <w:left w:w="90" w:type="dxa"/>
              <w:right w:w="90" w:type="dxa"/>
            </w:tcMar>
          </w:tcPr>
          <w:p>
            <w:pPr>
              <w:spacing w:after="0" w:before="0" w:line="240" w:lineRule="auto"/>
            </w:pPr>
            <w:r/>
            <w:r>
              <w:rPr>
                <w:rFonts w:ascii="Arial" w:hAnsi="Arial"/>
                <w:b w:val="0"/>
                <w:color w:val="172235"/>
                <w:sz w:val="18"/>
              </w:rPr>
              <w:t>End UX at 5:16. If late, state the reduced number of complete rounds honestly; retain five minutes of synthesis. Full staff scripts and additional attendance cases are in facilitator.html.</w:t>
            </w:r>
          </w:p>
        </w:tc>
      </w:tr>
    </w:tbl>
    <w:p>
      <w:pPr>
        <w:spacing w:after="100" w:before="0"/>
      </w:pPr>
      <w:r>
        <w:rPr>
          <w:rFonts w:ascii="Arial" w:hAnsi="Arial"/>
          <w:b w:val="0"/>
          <w:color w:val="172235"/>
          <w:sz w:val="4"/>
        </w:rPr>
      </w:r>
    </w:p>
    <w:sectPr>
      <w:footerReference w:type="default" r:id="rId22"/>
      <w:pgSz w:h="12240" w:w="15840" w:orient="landscape"/>
      <w:pgMar w:bottom="346" w:top="403" w:left="605" w:right="60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Week 7  |  Technical Art  |  Classroom working materials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235"/>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pPr>
    <w:rPr>
      <w:rFonts w:ascii="Arial" w:hAnsi="Arial"/>
      <w:sz w:val="20"/>
    </w:r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ev.epicgames.com/documentation/en-us/unreal-engine/ik-rig-animation-retargeting-in-unreal-engine" TargetMode="External"/><Relationship Id="rId10" Type="http://schemas.openxmlformats.org/officeDocument/2006/relationships/image" Target="media/image1.png"/><Relationship Id="rId21" Type="http://schemas.openxmlformats.org/officeDocument/2006/relationships/hyperlink" Target="https://dev.epicgames.com/documentation/en-us/unreal-engine/editor-utility-widgets-in-unreal-engine" TargetMode="External"/><Relationship Id="rId13" Type="http://schemas.openxmlformats.org/officeDocument/2006/relationships/hyperlink" Target="https://dev.epicgames.com/documentation/en-us/unreal-engine/creating-and-using-material-instances-in-unreal-engine"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picgames.com/documentation/en-us/unreal-engine/introduction-to-performance-profiling-and-configuration-in-unreal-engine" TargetMode="External"/><Relationship Id="rId15" Type="http://schemas.openxmlformats.org/officeDocument/2006/relationships/hyperlink" Target="https://dev.epicgames.com/documentation/unreal-engine/procedural-content-generation-framework-in-unreal-engine?lang=en-US" TargetMode="External"/><Relationship Id="rId14" Type="http://schemas.openxmlformats.org/officeDocument/2006/relationships/image" Target="media/image6.png"/><Relationship Id="rId17" Type="http://schemas.openxmlformats.org/officeDocument/2006/relationships/hyperlink" Target="https://dev.epicgames.com/documentation/en-us/unreal-engine/texture-streaming-overview-for-unreal-engine"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ev.epicgames.com/documentation/unreal-engine/fbx-static-mesh-pipeline-in-unreal-engine?lang=en-US" TargetMode="External"/><Relationship Id="rId6" Type="http://schemas.openxmlformats.org/officeDocument/2006/relationships/image" Target="media/image8.png"/><Relationship Id="rId18" Type="http://schemas.openxmlformats.org/officeDocument/2006/relationships/image" Target="media/image2.png"/><Relationship Id="rId7" Type="http://schemas.openxmlformats.org/officeDocument/2006/relationships/hyperlink" Target="https://www.documentation.beamng.com/modding/levels/level_creation/section1/" TargetMode="External"/><Relationship Id="rId8"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Week 7 Technical Art</dc:title>
  <cp:lastModifiedBy>python-docx</cp:lastModifiedBy>
  <cp:revision>1</cp:revision>
  <dcterms:modified xsi:type="dcterms:W3CDTF">2026-10-13T07:26:41Z</dcterms:modified>
  <dc:creator>Prof. Monteagudo</dc:creator>
  <dc:description/>
</cp:coreProperties>
</file>