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dly92ht6qo0" w:id="0"/>
      <w:bookmarkEnd w:id="0"/>
      <w:r w:rsidDel="00000000" w:rsidR="00000000" w:rsidRPr="00000000">
        <w:rPr>
          <w:rtl w:val="0"/>
        </w:rPr>
        <w:t xml:space="preserve">Implementation Framework: Scaling Local AI Agents to Cloud-Based Production</w:t>
      </w:r>
    </w:p>
    <w:p w:rsidR="00000000" w:rsidDel="00000000" w:rsidP="00000000" w:rsidRDefault="00000000" w:rsidRPr="00000000" w14:paraId="00000002">
      <w:pPr>
        <w:pStyle w:val="Heading5"/>
        <w:rPr/>
      </w:pPr>
      <w:bookmarkStart w:colFirst="0" w:colLast="0" w:name="_u0w5tswtv7f4" w:id="1"/>
      <w:bookmarkEnd w:id="1"/>
      <w:r w:rsidDel="00000000" w:rsidR="00000000" w:rsidRPr="00000000">
        <w:rPr>
          <w:rtl w:val="0"/>
        </w:rPr>
        <w:t xml:space="preserve">1. The Strategic Shift: From Local Prototyping to Autonomous Systems</w:t>
      </w:r>
    </w:p>
    <w:p w:rsidR="00000000" w:rsidDel="00000000" w:rsidP="00000000" w:rsidRDefault="00000000" w:rsidRPr="00000000" w14:paraId="00000003">
      <w:pPr>
        <w:rPr>
          <w:b w:val="1"/>
          <w:bCs w:val="1"/>
        </w:rPr>
      </w:pPr>
      <w:r w:rsidDel="00000000" w:rsidR="00000000" w:rsidRPr="00000000">
        <w:rPr>
          <w:rtl w:val="0"/>
        </w:rPr>
        <w:t xml:space="preserve">The industry is currently undergoing a fundamental paradigm shift: moving AI from a local chat-based interface to a persistent, background business asset. For the systems integrator, the goal is no longer just "using AI" but building a  </w:t>
      </w:r>
      <w:r w:rsidDel="00000000" w:rsidR="00000000" w:rsidRPr="00000000">
        <w:rPr>
          <w:b w:val="1"/>
          <w:bCs w:val="1"/>
          <w:rtl w:val="0"/>
        </w:rPr>
        <w:t xml:space="preserve">Digital Workforce</w:t>
      </w:r>
      <w:r w:rsidDel="00000000" w:rsidR="00000000" w:rsidRPr="00000000">
        <w:rPr>
          <w:rtl w:val="0"/>
        </w:rPr>
        <w:t xml:space="preserve"> . The combination of Claude Code’s high-reasoning capabilities and Trigger.dev’s professional orchestration represents a core piece of modern production architecture. This framework allows for the rapid transition from a conceptual idea to a live, persistent system that executes autonomously.</w:t>
      </w:r>
      <w:r w:rsidDel="00000000" w:rsidR="00000000" w:rsidRPr="00000000">
        <w:rPr>
          <w:b w:val="1"/>
          <w:bCs w:val="1"/>
          <w:rtl w:val="0"/>
        </w:rPr>
        <w:t xml:space="preserve">The Claude Code + Trigger.dev Value Proposition:</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Rapid Prototyping:</w:t>
      </w:r>
      <w:r w:rsidDel="00000000" w:rsidR="00000000" w:rsidRPr="00000000">
        <w:rPr>
          <w:rtl w:val="0"/>
        </w:rPr>
        <w:t xml:space="preserve">  Accelerating the lifecycle from vague intent to functional automation in approximately 10–20 minutes.</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Non-Deterministic Decision-Making:</w:t>
      </w:r>
      <w:r w:rsidDel="00000000" w:rsidR="00000000" w:rsidRPr="00000000">
        <w:rPr>
          <w:rtl w:val="0"/>
        </w:rPr>
        <w:t xml:space="preserve">  Moving beyond rigid 1-2-3 sequences to agents that can decide their own "loops" and tool usage (e.g., an agent deciding to invoke a search tool a second time because the first result lacked sufficient detail).</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Professional-Grade Orchestration:</w:t>
      </w:r>
      <w:r w:rsidDel="00000000" w:rsidR="00000000" w:rsidRPr="00000000">
        <w:rPr>
          <w:rtl w:val="0"/>
        </w:rPr>
        <w:t xml:space="preserve">  Leveraging mission-critical features like automated scheduling (CRON), intelligent retries with backoff delays, and task queuing.The complexity of tasks that can be automated increases significantly when moving from "deterministic" to "non-deterministic" logic. While traditional software follows a fixed path, these agents evaluate whether a result is "good enough" before proceeding. Once the logic is validated locally, the architect must solve for persistence—the primary role of the orchestration layer.</w:t>
      </w:r>
    </w:p>
    <w:p w:rsidR="00000000" w:rsidDel="00000000" w:rsidP="00000000" w:rsidRDefault="00000000" w:rsidRPr="00000000" w14:paraId="00000007">
      <w:pPr>
        <w:pStyle w:val="Heading5"/>
        <w:rPr/>
      </w:pPr>
      <w:bookmarkStart w:colFirst="0" w:colLast="0" w:name="_exq7aisw83gs" w:id="2"/>
      <w:bookmarkEnd w:id="2"/>
      <w:r w:rsidDel="00000000" w:rsidR="00000000" w:rsidRPr="00000000">
        <w:rPr>
          <w:rtl w:val="0"/>
        </w:rPr>
        <w:t xml:space="preserve">2. Phase I: Local Development and Iterative Prototyping in Claude Code</w:t>
      </w:r>
    </w:p>
    <w:p w:rsidR="00000000" w:rsidDel="00000000" w:rsidP="00000000" w:rsidRDefault="00000000" w:rsidRPr="00000000" w14:paraId="00000008">
      <w:pPr>
        <w:rPr/>
      </w:pPr>
      <w:r w:rsidDel="00000000" w:rsidR="00000000" w:rsidRPr="00000000">
        <w:rPr>
          <w:rtl w:val="0"/>
        </w:rPr>
        <w:t xml:space="preserve">High-level intent must be translated from plain English into robust TypeScript. This phase is critical for safe experimentation and cost-effective debugging. By utilizing Claude Code locally, the architect can iterate through failure points without the latency of cloud environments.</w:t>
      </w:r>
      <w:r w:rsidDel="00000000" w:rsidR="00000000" w:rsidRPr="00000000">
        <w:rPr>
          <w:b w:val="1"/>
          <w:bCs w:val="1"/>
          <w:rtl w:val="0"/>
        </w:rPr>
        <w:t xml:space="preserve">The "Claw" Protocol: Instructional Backbone</w:t>
      </w:r>
      <w:r w:rsidDel="00000000" w:rsidR="00000000" w:rsidRPr="00000000">
        <w:rPr>
          <w:rtl w:val="0"/>
        </w:rPr>
        <w:t xml:space="preserve">  To make Claude Code effective with Trigger.dev, the architect must provide a specific instructional context. This is achieved via two essential assets:</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claw.mmd</w:t>
      </w:r>
      <w:r w:rsidDel="00000000" w:rsidR="00000000" w:rsidRPr="00000000">
        <w:rPr>
          <w:rtl w:val="0"/>
        </w:rPr>
        <w:t xml:space="preserve"> : Defines the high-level goals and architectural constraints for the agent.</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trigger_ref.md</w:t>
      </w:r>
      <w:r w:rsidDel="00000000" w:rsidR="00000000" w:rsidRPr="00000000">
        <w:rPr>
          <w:rtl w:val="0"/>
        </w:rPr>
        <w:t xml:space="preserve"> : Provides the Trigger.dev API reference and TypeScript patterns the agent needs to generate valid code.</w:t>
      </w:r>
      <w:r w:rsidDel="00000000" w:rsidR="00000000" w:rsidRPr="00000000">
        <w:rPr>
          <w:b w:val="1"/>
          <w:bCs w:val="1"/>
          <w:rtl w:val="0"/>
        </w:rPr>
        <w:t xml:space="preserve">Workflow: Vague Request to Working Automation</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Initial Prompting:</w:t>
      </w:r>
      <w:r w:rsidDel="00000000" w:rsidR="00000000" w:rsidRPr="00000000">
        <w:rPr>
          <w:rtl w:val="0"/>
        </w:rPr>
        <w:t xml:space="preserve">  The integrator provides a broad objective (e.g., "Monitor YouTube for new AI news").</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Agentic Q&amp;A:</w:t>
      </w:r>
      <w:r w:rsidDel="00000000" w:rsidR="00000000" w:rsidRPr="00000000">
        <w:rPr>
          <w:rtl w:val="0"/>
        </w:rPr>
        <w:t xml:space="preserve">  The agent analyzes the request and asks clarifying questions to define the tech stack and required API integrations.</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Project Generation:</w:t>
      </w:r>
      <w:r w:rsidDel="00000000" w:rsidR="00000000" w:rsidRPr="00000000">
        <w:rPr>
          <w:rtl w:val="0"/>
        </w:rPr>
        <w:t xml:space="preserve">  The agent generates the directory structure, .env placeholders, and core TypeScript source files.</w:t>
      </w:r>
      <w:r w:rsidDel="00000000" w:rsidR="00000000" w:rsidRPr="00000000">
        <w:rPr>
          <w:b w:val="1"/>
          <w:bCs w:val="1"/>
          <w:rtl w:val="0"/>
        </w:rPr>
        <w:t xml:space="preserve">Principle: Proactive Architectural Planning</w:t>
      </w:r>
      <w:r w:rsidDel="00000000" w:rsidR="00000000" w:rsidRPr="00000000">
        <w:rPr>
          <w:rtl w:val="0"/>
        </w:rPr>
        <w:t xml:space="preserve">  A "planning harder" approach is mandatory to avoid mid-build architectural flaws. A prime example from the field involves vendor reliability: an agent might initially suggest the Yelp Fusion API for lead generation, only to require a pivot to the SERP API because Yelp discontinued their free tier. Anticipating these shifts during the local phase prevents costly technical debt. Once the code is functional, it must be migrated to a platform capable of persistent execution.</w:t>
      </w:r>
    </w:p>
    <w:p w:rsidR="00000000" w:rsidDel="00000000" w:rsidP="00000000" w:rsidRDefault="00000000" w:rsidRPr="00000000" w14:paraId="0000000E">
      <w:pPr>
        <w:pStyle w:val="Heading5"/>
        <w:rPr/>
      </w:pPr>
      <w:bookmarkStart w:colFirst="0" w:colLast="0" w:name="_hvtb5e3vsz29" w:id="3"/>
      <w:bookmarkEnd w:id="3"/>
      <w:r w:rsidDel="00000000" w:rsidR="00000000" w:rsidRPr="00000000">
        <w:rPr>
          <w:rtl w:val="0"/>
        </w:rPr>
        <w:t xml:space="preserve">3. Phase II: Orchestration Architecture via Trigger.dev</w:t>
      </w:r>
    </w:p>
    <w:p w:rsidR="00000000" w:rsidDel="00000000" w:rsidP="00000000" w:rsidRDefault="00000000" w:rsidRPr="00000000" w14:paraId="0000000F">
      <w:pPr>
        <w:rPr/>
      </w:pPr>
      <w:r w:rsidDel="00000000" w:rsidR="00000000" w:rsidRPr="00000000">
        <w:rPr>
          <w:rtl w:val="0"/>
        </w:rPr>
        <w:t xml:space="preserve">Local execution is insufficient for professional use cases requiring reliability and 24/7 persistence. A dedicated orchestration layer like Trigger.dev provides the visibility and lifecycle management that simple scripts lack.| Component Type | Role | Frequency Example | Trigger Mechanism || ------ | ------ | ------ | ------ || </w:t>
      </w:r>
      <w:r w:rsidDel="00000000" w:rsidR="00000000" w:rsidRPr="00000000">
        <w:rPr>
          <w:b w:val="1"/>
          <w:bCs w:val="1"/>
          <w:rtl w:val="0"/>
        </w:rPr>
        <w:t xml:space="preserve">Functional Tools</w:t>
      </w:r>
      <w:r w:rsidDel="00000000" w:rsidR="00000000" w:rsidRPr="00000000">
        <w:rPr>
          <w:rtl w:val="0"/>
        </w:rPr>
        <w:t xml:space="preserve"> | Executes specific logic (Researcher Agent, Responder Agent, Lead Creator) | On-demand per task | Called by Orchestrator or Poller || </w:t>
      </w:r>
      <w:r w:rsidDel="00000000" w:rsidR="00000000" w:rsidRPr="00000000">
        <w:rPr>
          <w:b w:val="1"/>
          <w:bCs w:val="1"/>
          <w:rtl w:val="0"/>
        </w:rPr>
        <w:t xml:space="preserve">Scheduled Tasks</w:t>
      </w:r>
      <w:r w:rsidDel="00000000" w:rsidR="00000000" w:rsidRPr="00000000">
        <w:rPr>
          <w:rtl w:val="0"/>
        </w:rPr>
        <w:t xml:space="preserve"> | Monitors external sources (YouTube Checker, Research Poller, Follow-up Poller) | Every 2 minutes or 8 hours | CRON / Scheduled interval |</w:t>
      </w:r>
    </w:p>
    <w:p w:rsidR="00000000" w:rsidDel="00000000" w:rsidP="00000000" w:rsidRDefault="00000000" w:rsidRPr="00000000" w14:paraId="00000010">
      <w:pPr>
        <w:rPr/>
      </w:pPr>
      <w:r w:rsidDel="00000000" w:rsidR="00000000" w:rsidRPr="00000000">
        <w:rPr>
          <w:b w:val="1"/>
          <w:bCs w:val="1"/>
          <w:rtl w:val="0"/>
        </w:rPr>
        <w:t xml:space="preserve">Monitoring and Visibility Layer</w:t>
      </w:r>
      <w:r w:rsidDel="00000000" w:rsidR="00000000" w:rsidRPr="00000000">
        <w:rPr>
          <w:rtl w:val="0"/>
        </w:rPr>
        <w:t xml:space="preserve">  The Trigger.dev UI facilitates troubleshooting by removing the "black box" nature of AI. Architects can track runs live, viewing every tool invocation and step-by-step log. For instance, if a ClickUp API rate limit is reached, the system provides a visual failure analysis, showing the automatic retry delay before the next attempt. This visibility is the foundation of a reliable production system.</w:t>
      </w:r>
    </w:p>
    <w:p w:rsidR="00000000" w:rsidDel="00000000" w:rsidP="00000000" w:rsidRDefault="00000000" w:rsidRPr="00000000" w14:paraId="00000011">
      <w:pPr>
        <w:pStyle w:val="Heading5"/>
        <w:rPr/>
      </w:pPr>
      <w:bookmarkStart w:colFirst="0" w:colLast="0" w:name="_hjxfiov10ph3" w:id="4"/>
      <w:bookmarkEnd w:id="4"/>
      <w:r w:rsidDel="00000000" w:rsidR="00000000" w:rsidRPr="00000000">
        <w:rPr>
          <w:rtl w:val="0"/>
        </w:rPr>
        <w:t xml:space="preserve">4. Phase III: Production-Grade Deployment and Security</w:t>
      </w:r>
    </w:p>
    <w:p w:rsidR="00000000" w:rsidDel="00000000" w:rsidP="00000000" w:rsidRDefault="00000000" w:rsidRPr="00000000" w14:paraId="00000012">
      <w:pPr>
        <w:rPr>
          <w:b w:val="1"/>
          <w:bCs w:val="1"/>
        </w:rPr>
      </w:pPr>
      <w:r w:rsidDel="00000000" w:rsidR="00000000" w:rsidRPr="00000000">
        <w:rPr>
          <w:rtl w:val="0"/>
        </w:rPr>
        <w:t xml:space="preserve">Scaling to production requires a "Safety-First" model, maintaining a strict separation between code and secrets.</w:t>
      </w:r>
      <w:r w:rsidDel="00000000" w:rsidR="00000000" w:rsidRPr="00000000">
        <w:rPr>
          <w:b w:val="1"/>
          <w:bCs w:val="1"/>
          <w:rtl w:val="0"/>
        </w:rPr>
        <w:t xml:space="preserve">Deployment Synchronization and Project Referencing</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GitHub Version Control:</w:t>
      </w:r>
      <w:r w:rsidDel="00000000" w:rsidR="00000000" w:rsidRPr="00000000">
        <w:rPr>
          <w:rtl w:val="0"/>
        </w:rPr>
        <w:t xml:space="preserve">  Linking the master branch to Trigger.dev creates a CI/CD pipeline. Every commit automatically updates the production environment.</w:t>
      </w:r>
    </w:p>
    <w:p w:rsidR="00000000" w:rsidDel="00000000" w:rsidP="00000000" w:rsidRDefault="00000000" w:rsidRPr="00000000" w14:paraId="00000014">
      <w:pPr>
        <w:numPr>
          <w:ilvl w:val="0"/>
          <w:numId w:val="6"/>
        </w:numPr>
        <w:ind w:left="720" w:hanging="360"/>
        <w:rPr>
          <w:u w:val="none"/>
        </w:rPr>
      </w:pPr>
      <w:r w:rsidDel="00000000" w:rsidR="00000000" w:rsidRPr="00000000">
        <w:rPr>
          <w:b w:val="1"/>
          <w:bCs w:val="1"/>
          <w:rtl w:val="0"/>
        </w:rPr>
        <w:t xml:space="preserve">Trigger.dev MCP Server:</w:t>
      </w:r>
      <w:r w:rsidDel="00000000" w:rsidR="00000000" w:rsidRPr="00000000">
        <w:rPr>
          <w:rtl w:val="0"/>
        </w:rPr>
        <w:t xml:space="preserve">  To bridge the local CLI and the cloud, the integrator should utilize the  </w:t>
      </w:r>
      <w:r w:rsidDel="00000000" w:rsidR="00000000" w:rsidRPr="00000000">
        <w:rPr>
          <w:b w:val="1"/>
          <w:bCs w:val="1"/>
          <w:rtl w:val="0"/>
        </w:rPr>
        <w:t xml:space="preserve">Trigger.dev MCP (Model Context Protocol) server</w:t>
      </w:r>
      <w:r w:rsidDel="00000000" w:rsidR="00000000" w:rsidRPr="00000000">
        <w:rPr>
          <w:rtl w:val="0"/>
        </w:rPr>
        <w:t xml:space="preserve"> . This allows Claude to interact directly with the orchestration environment for testing and payloads.</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Environment Variable Management:</w:t>
      </w:r>
      <w:r w:rsidDel="00000000" w:rsidR="00000000" w:rsidRPr="00000000">
        <w:rPr>
          <w:rtl w:val="0"/>
        </w:rPr>
        <w:t xml:space="preserve">  Secrets move from local .env files to Trigger.dev’s secure dashboard. Project Refs and API secret keys serve as the bridge between the local environment and the cloud instance.</w:t>
      </w:r>
      <w:r w:rsidDel="00000000" w:rsidR="00000000" w:rsidRPr="00000000">
        <w:rPr>
          <w:b w:val="1"/>
          <w:bCs w:val="1"/>
          <w:rtl w:val="0"/>
        </w:rPr>
        <w:t xml:space="preserve">Strict Secret Handling Protocol</w:t>
      </w:r>
      <w:r w:rsidDel="00000000" w:rsidR="00000000" w:rsidRPr="00000000">
        <w:rPr>
          <w:rtl w:val="0"/>
        </w:rPr>
        <w:t xml:space="preserve">  It is a strict security mandate to never include API keys (ClickUp, OpenAI, SERP) in chat interfaces or code commits. The architect must:</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Use placeholder values in the local .env file first.</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Manually update the Trigger.dev Environment Variables dashboard.</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Verify that .env is included in the .gitignore to prevent leaks to GitHub.</w:t>
      </w:r>
    </w:p>
    <w:p w:rsidR="00000000" w:rsidDel="00000000" w:rsidP="00000000" w:rsidRDefault="00000000" w:rsidRPr="00000000" w14:paraId="00000019">
      <w:pPr>
        <w:pStyle w:val="Heading5"/>
        <w:rPr/>
      </w:pPr>
      <w:bookmarkStart w:colFirst="0" w:colLast="0" w:name="_kfsb7nfdelgd" w:id="5"/>
      <w:bookmarkEnd w:id="5"/>
      <w:r w:rsidDel="00000000" w:rsidR="00000000" w:rsidRPr="00000000">
        <w:rPr>
          <w:rtl w:val="0"/>
        </w:rPr>
        <w:t xml:space="preserve">5. Phase IV: Ensuring Operational Stability and Data Integrity</w:t>
      </w:r>
    </w:p>
    <w:p w:rsidR="00000000" w:rsidDel="00000000" w:rsidP="00000000" w:rsidRDefault="00000000" w:rsidRPr="00000000" w14:paraId="0000001A">
      <w:pPr>
        <w:rPr/>
      </w:pPr>
      <w:r w:rsidDel="00000000" w:rsidR="00000000" w:rsidRPr="00000000">
        <w:rPr>
          <w:rtl w:val="0"/>
        </w:rPr>
        <w:t xml:space="preserve">The primary risk in autonomous systems is "ghost" execution—repetitive incorrect tasks that lead to data duplication. The human expert acts as the Quality Assurance (QA) lead to oversee the agent’s logic.</w:t>
      </w:r>
      <w:r w:rsidDel="00000000" w:rsidR="00000000" w:rsidRPr="00000000">
        <w:rPr>
          <w:b w:val="1"/>
          <w:bCs w:val="1"/>
          <w:rtl w:val="0"/>
        </w:rPr>
        <w:t xml:space="preserve">Idempotency and De-duplication Mandate</w:t>
      </w:r>
      <w:r w:rsidDel="00000000" w:rsidR="00000000" w:rsidRPr="00000000">
        <w:rPr>
          <w:rtl w:val="0"/>
        </w:rPr>
        <w:t xml:space="preserve">  In professional databases, duplicate outputs are a sign of architectural failure. A common scenario occurs when a lead generator finds 25 new prospects but, due to a logic error, creates 50 tasks in ClickUp.</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The Solution:</w:t>
      </w:r>
      <w:r w:rsidDel="00000000" w:rsidR="00000000" w:rsidRPr="00000000">
        <w:rPr>
          <w:rtl w:val="0"/>
        </w:rPr>
        <w:t xml:space="preserve">  The agent must be programmed to search for existing records—using a unique identifier like a  </w:t>
      </w:r>
      <w:r w:rsidDel="00000000" w:rsidR="00000000" w:rsidRPr="00000000">
        <w:rPr>
          <w:b w:val="1"/>
          <w:bCs w:val="1"/>
          <w:rtl w:val="0"/>
        </w:rPr>
        <w:t xml:space="preserve">Place ID</w:t>
      </w:r>
      <w:r w:rsidDel="00000000" w:rsidR="00000000" w:rsidRPr="00000000">
        <w:rPr>
          <w:rtl w:val="0"/>
        </w:rPr>
        <w:t xml:space="preserve"> —before initiating a "Create" action. If the ID exists, the agent should skip the entry.</w:t>
      </w:r>
      <w:r w:rsidDel="00000000" w:rsidR="00000000" w:rsidRPr="00000000">
        <w:rPr>
          <w:b w:val="1"/>
          <w:bCs w:val="1"/>
          <w:rtl w:val="0"/>
        </w:rPr>
        <w:t xml:space="preserve">Retry and Error Handling Logic</w:t>
      </w:r>
      <w:r w:rsidDel="00000000" w:rsidR="00000000" w:rsidRPr="00000000">
        <w:rPr>
          <w:rtl w:val="0"/>
        </w:rPr>
        <w:t xml:space="preserve">  Operational stability is maintained by Trigger.dev’s task-level isolation. If a network timeout occurs during a search for one specific lead, the platform applies an intelligent delay and re-executes only that specific task rather than crashing the entire workflow. This ensures the rest of the 25-lead batch is processed successfully.</w:t>
      </w:r>
    </w:p>
    <w:p w:rsidR="00000000" w:rsidDel="00000000" w:rsidP="00000000" w:rsidRDefault="00000000" w:rsidRPr="00000000" w14:paraId="0000001C">
      <w:pPr>
        <w:pStyle w:val="Heading5"/>
        <w:rPr/>
      </w:pPr>
      <w:bookmarkStart w:colFirst="0" w:colLast="0" w:name="_asoutuddks7o" w:id="6"/>
      <w:bookmarkEnd w:id="6"/>
      <w:r w:rsidDel="00000000" w:rsidR="00000000" w:rsidRPr="00000000">
        <w:rPr>
          <w:rtl w:val="0"/>
        </w:rPr>
        <w:t xml:space="preserve">6. Conclusion: The Human-in-the-Loop Quality Mandate</w:t>
      </w:r>
    </w:p>
    <w:p w:rsidR="00000000" w:rsidDel="00000000" w:rsidP="00000000" w:rsidRDefault="00000000" w:rsidRPr="00000000" w14:paraId="0000001D">
      <w:pPr>
        <w:rPr>
          <w:b w:val="1"/>
          <w:bCs w:val="1"/>
        </w:rPr>
      </w:pPr>
      <w:r w:rsidDel="00000000" w:rsidR="00000000" w:rsidRPr="00000000">
        <w:rPr>
          <w:rtl w:val="0"/>
        </w:rPr>
        <w:t xml:space="preserve">While AI handles the heavy lifting of code generation and execution, the human architect provides the strategic assurance. Success in building a  </w:t>
      </w:r>
      <w:r w:rsidDel="00000000" w:rsidR="00000000" w:rsidRPr="00000000">
        <w:rPr>
          <w:b w:val="1"/>
          <w:bCs w:val="1"/>
          <w:rtl w:val="0"/>
        </w:rPr>
        <w:t xml:space="preserve">Digital Workforce</w:t>
      </w:r>
      <w:r w:rsidDel="00000000" w:rsidR="00000000" w:rsidRPr="00000000">
        <w:rPr>
          <w:rtl w:val="0"/>
        </w:rPr>
        <w:t xml:space="preserve">  requires the integrator to move from being a "coder" to a "quality lead."</w:t>
      </w:r>
      <w:r w:rsidDel="00000000" w:rsidR="00000000" w:rsidRPr="00000000">
        <w:rPr>
          <w:b w:val="1"/>
          <w:bCs w:val="1"/>
          <w:rtl w:val="0"/>
        </w:rPr>
        <w:t xml:space="preserve">Expert Takeaways for Implementation:</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Clear Communication:</w:t>
      </w:r>
      <w:r w:rsidDel="00000000" w:rsidR="00000000" w:rsidRPr="00000000">
        <w:rPr>
          <w:rtl w:val="0"/>
        </w:rPr>
        <w:t xml:space="preserve">  Because AI is a "Black Box," clear and frequent communication with the model is required to ensure tech stack nuances are understood.</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Version Control via GitHub:</w:t>
      </w:r>
      <w:r w:rsidDel="00000000" w:rsidR="00000000" w:rsidRPr="00000000">
        <w:rPr>
          <w:rtl w:val="0"/>
        </w:rPr>
        <w:t xml:space="preserve">  This is non-negotiable for scaling, collaboration, and safe rollbacks in production.</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Testing vs. Production:</w:t>
      </w:r>
      <w:r w:rsidDel="00000000" w:rsidR="00000000" w:rsidRPr="00000000">
        <w:rPr>
          <w:rtl w:val="0"/>
        </w:rPr>
        <w:t xml:space="preserve">  All workflows must be robustly validated in a "Dev" environment before being pushed to "Production" for live execution.The future of professional automation lies in agentic workflows that think and adapt. By combining Claude Code’s reasoning with Trigger.dev’s orchestration, we can deploy autonomous systems that are as reliable as they are intelligent.</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