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lgcw214n44" w:id="0"/>
      <w:bookmarkEnd w:id="0"/>
      <w:r w:rsidDel="00000000" w:rsidR="00000000" w:rsidRPr="00000000">
        <w:rPr>
          <w:rtl w:val="0"/>
        </w:rPr>
        <w:t xml:space="preserve">Strategic Implementation Roadmap: Transitioning to an AI-Enabled, Skill-Driven Marketing Operation</w:t>
      </w:r>
    </w:p>
    <w:p w:rsidR="00000000" w:rsidDel="00000000" w:rsidP="00000000" w:rsidRDefault="00000000" w:rsidRPr="00000000" w14:paraId="00000002">
      <w:pPr>
        <w:pStyle w:val="Heading4"/>
        <w:rPr/>
      </w:pPr>
      <w:bookmarkStart w:colFirst="0" w:colLast="0" w:name="_rv3xno9pa8g" w:id="1"/>
      <w:bookmarkEnd w:id="1"/>
      <w:r w:rsidDel="00000000" w:rsidR="00000000" w:rsidRPr="00000000">
        <w:rPr>
          <w:rtl w:val="0"/>
        </w:rPr>
        <w:t xml:space="preserve">1. The Vision: From Manual Execution to Skill-Based Expertise</w:t>
      </w:r>
    </w:p>
    <w:p w:rsidR="00000000" w:rsidDel="00000000" w:rsidP="00000000" w:rsidRDefault="00000000" w:rsidRPr="00000000" w14:paraId="00000003">
      <w:pPr>
        <w:rPr/>
      </w:pPr>
      <w:r w:rsidDel="00000000" w:rsidR="00000000" w:rsidRPr="00000000">
        <w:rPr>
          <w:rtl w:val="0"/>
        </w:rPr>
        <w:t xml:space="preserve">The modern marketing organization is under siege by channel fragmentation and content volume requirements. To achieve true scale, leadership must pivot from viewing AI as a conversational chatbot to viewing it as a permanent, high-fidelity repository of institutional expertise. The bridge between static Standard Operating Procedures (SOPs) and dynamic, high-quality execution is the "Claude Skill." By codifying specialized logic and brand intelligence into reusable skills, we mitigate "knowledge rot"—the loss of operational excellence when key personnel leave—and transform the marketing department into a technology-driven powerhouse.In this strategic framework, we distinguish between  </w:t>
      </w:r>
      <w:r w:rsidDel="00000000" w:rsidR="00000000" w:rsidRPr="00000000">
        <w:rPr>
          <w:b w:val="1"/>
          <w:bCs w:val="1"/>
          <w:rtl w:val="0"/>
        </w:rPr>
        <w:t xml:space="preserve">Agents</w:t>
      </w:r>
      <w:r w:rsidDel="00000000" w:rsidR="00000000" w:rsidRPr="00000000">
        <w:rPr>
          <w:rtl w:val="0"/>
        </w:rPr>
        <w:t xml:space="preserve">  and  </w:t>
      </w:r>
      <w:r w:rsidDel="00000000" w:rsidR="00000000" w:rsidRPr="00000000">
        <w:rPr>
          <w:b w:val="1"/>
          <w:bCs w:val="1"/>
          <w:rtl w:val="0"/>
        </w:rPr>
        <w:t xml:space="preserve">Skills</w:t>
      </w:r>
      <w:r w:rsidDel="00000000" w:rsidR="00000000" w:rsidRPr="00000000">
        <w:rPr>
          <w:rtl w:val="0"/>
        </w:rPr>
        <w:t xml:space="preserve"> :</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Agents:</w:t>
      </w:r>
      <w:r w:rsidDel="00000000" w:rsidR="00000000" w:rsidRPr="00000000">
        <w:rPr>
          <w:rtl w:val="0"/>
        </w:rPr>
        <w:t xml:space="preserve">  The functional "team members" (AI instances) that execute tasks.</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Skills:</w:t>
      </w:r>
      <w:r w:rsidDel="00000000" w:rsidR="00000000" w:rsidRPr="00000000">
        <w:rPr>
          <w:rtl w:val="0"/>
        </w:rPr>
        <w:t xml:space="preserve">  The specialized expertise, SOPs, and proven frameworks that agents utilize to deliver results.Investing in a centralized "Skill Library" provides unprecedented organizational leverage. By teaching a workflow once, you ensure consistent, expert-level delivery across all channels without the friction of repetitive prompting. This shift allows human talent to focus on high-level strategy while the AI maintains the tactical "ground truth."</w:t>
      </w:r>
    </w:p>
    <w:p w:rsidR="00000000" w:rsidDel="00000000" w:rsidP="00000000" w:rsidRDefault="00000000" w:rsidRPr="00000000" w14:paraId="00000006">
      <w:pPr>
        <w:pStyle w:val="Heading4"/>
        <w:rPr/>
      </w:pPr>
      <w:bookmarkStart w:colFirst="0" w:colLast="0" w:name="_p85jbjonbaqz" w:id="2"/>
      <w:bookmarkEnd w:id="2"/>
      <w:r w:rsidDel="00000000" w:rsidR="00000000" w:rsidRPr="00000000">
        <w:rPr>
          <w:rtl w:val="0"/>
        </w:rPr>
        <w:t xml:space="preserve">2. The Foundational Infrastructure: Context Systems and Project Architecture</w:t>
      </w:r>
    </w:p>
    <w:p w:rsidR="00000000" w:rsidDel="00000000" w:rsidP="00000000" w:rsidRDefault="00000000" w:rsidRPr="00000000" w14:paraId="00000007">
      <w:pPr>
        <w:rPr/>
      </w:pPr>
      <w:r w:rsidDel="00000000" w:rsidR="00000000" w:rsidRPr="00000000">
        <w:rPr>
          <w:rtl w:val="0"/>
        </w:rPr>
        <w:t xml:space="preserve">AI reliability is not a function of prompt engineering alone; it is a function of organizational architecture. A standardized project structure is the non-negotiable prerequisite for eliminating "hallucinations" and ensuring brand alignment. Without a clear "home" for data, AI operates in a vacuum, leading to inconsistent outputs that require heavy human editing.A high-performance project environment (based on the "Simple Home" model) must be organized into a specific folder hierarchy:</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Context Files:</w:t>
      </w:r>
      <w:r w:rsidDel="00000000" w:rsidR="00000000" w:rsidRPr="00000000">
        <w:rPr>
          <w:rtl w:val="0"/>
        </w:rPr>
        <w:t xml:space="preserve">  Dedicated Markdown documents containing the Brand Identity, Product Specs, and Audience Personas. These serve as the AI's "Ground Truth."</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Claude.md</w:t>
      </w:r>
      <w:r w:rsidDel="00000000" w:rsidR="00000000" w:rsidRPr="00000000">
        <w:rPr>
          <w:rtl w:val="0"/>
        </w:rPr>
        <w:t xml:space="preserve">  </w:t>
      </w:r>
      <w:r w:rsidDel="00000000" w:rsidR="00000000" w:rsidRPr="00000000">
        <w:rPr>
          <w:b w:val="1"/>
          <w:bCs w:val="1"/>
          <w:rtl w:val="0"/>
        </w:rPr>
        <w:t xml:space="preserve">File:</w:t>
      </w:r>
      <w:r w:rsidDel="00000000" w:rsidR="00000000" w:rsidRPr="00000000">
        <w:rPr>
          <w:rtl w:val="0"/>
        </w:rPr>
        <w:t xml:space="preserve">  This is the project's "Navigation Manual." It provides custom instructions that dictate how the AI should interpret and move through the folder system.</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SOP Folders:</w:t>
      </w:r>
      <w:r w:rsidDel="00000000" w:rsidR="00000000" w:rsidRPr="00000000">
        <w:rPr>
          <w:rtl w:val="0"/>
        </w:rPr>
        <w:t xml:space="preserve">  These contain the source logic and step-by-step procedures that define how marketing tasks are executed.This "Context First" approach ensures that the AI possesses all necessary background information before a single task is assigned. By establishing this infrastructure, we remove the "Prompt Engineering Bottleneck," as the user no longer needs to repeat brand details for every individual request.</w:t>
      </w:r>
    </w:p>
    <w:p w:rsidR="00000000" w:rsidDel="00000000" w:rsidP="00000000" w:rsidRDefault="00000000" w:rsidRPr="00000000" w14:paraId="0000000B">
      <w:pPr>
        <w:pStyle w:val="Heading4"/>
        <w:rPr/>
      </w:pPr>
      <w:bookmarkStart w:colFirst="0" w:colLast="0" w:name="_y1xgvuwj97f4" w:id="3"/>
      <w:bookmarkEnd w:id="3"/>
      <w:r w:rsidDel="00000000" w:rsidR="00000000" w:rsidRPr="00000000">
        <w:rPr>
          <w:rtl w:val="0"/>
        </w:rPr>
        <w:t xml:space="preserve">3. Architecting the Core Marketing Skill Library</w:t>
      </w:r>
    </w:p>
    <w:p w:rsidR="00000000" w:rsidDel="00000000" w:rsidP="00000000" w:rsidRDefault="00000000" w:rsidRPr="00000000" w14:paraId="0000000C">
      <w:pPr>
        <w:rPr/>
      </w:pPr>
      <w:r w:rsidDel="00000000" w:rsidR="00000000" w:rsidRPr="00000000">
        <w:rPr>
          <w:rtl w:val="0"/>
        </w:rPr>
        <w:t xml:space="preserve">To build a balanced AI marketing operation, leaders must standardize the five core pillars of marketing execution. Before development begins, the  </w:t>
      </w:r>
      <w:r w:rsidDel="00000000" w:rsidR="00000000" w:rsidRPr="00000000">
        <w:rPr>
          <w:b w:val="1"/>
          <w:bCs w:val="1"/>
          <w:rtl w:val="0"/>
        </w:rPr>
        <w:t xml:space="preserve">Skill Creator tool</w:t>
      </w:r>
      <w:r w:rsidDel="00000000" w:rsidR="00000000" w:rsidRPr="00000000">
        <w:rPr>
          <w:rtl w:val="0"/>
        </w:rPr>
        <w:t xml:space="preserve">  must be installed via the official  </w:t>
      </w:r>
      <w:r w:rsidDel="00000000" w:rsidR="00000000" w:rsidRPr="00000000">
        <w:rPr>
          <w:b w:val="1"/>
          <w:bCs w:val="1"/>
          <w:rtl w:val="0"/>
        </w:rPr>
        <w:t xml:space="preserve">Skill Repo</w:t>
      </w:r>
      <w:r w:rsidDel="00000000" w:rsidR="00000000" w:rsidRPr="00000000">
        <w:rPr>
          <w:rtl w:val="0"/>
        </w:rPr>
        <w:t xml:space="preserve">  to ensure all skills adhere to a proper technical structure.</w:t>
      </w:r>
    </w:p>
    <w:p w:rsidR="00000000" w:rsidDel="00000000" w:rsidP="00000000" w:rsidRDefault="00000000" w:rsidRPr="00000000" w14:paraId="0000000D">
      <w:pPr>
        <w:pStyle w:val="Heading5"/>
        <w:rPr/>
      </w:pPr>
      <w:bookmarkStart w:colFirst="0" w:colLast="0" w:name="_s50uoguhu5gm" w:id="4"/>
      <w:bookmarkEnd w:id="4"/>
      <w:r w:rsidDel="00000000" w:rsidR="00000000" w:rsidRPr="00000000">
        <w:rPr>
          <w:rtl w:val="0"/>
        </w:rPr>
        <w:t xml:space="preserve">The Five Foundational Skills</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Marketing Research &amp; Strategy:</w:t>
      </w:r>
      <w:r w:rsidDel="00000000" w:rsidR="00000000" w:rsidRPr="00000000">
        <w:rPr>
          <w:rtl w:val="0"/>
        </w:rPr>
        <w:t xml:space="preserve">  Utilizes the  </w:t>
      </w:r>
      <w:r w:rsidDel="00000000" w:rsidR="00000000" w:rsidRPr="00000000">
        <w:rPr>
          <w:b w:val="1"/>
          <w:bCs w:val="1"/>
          <w:rtl w:val="0"/>
        </w:rPr>
        <w:t xml:space="preserve">Perplexity MCP</w:t>
      </w:r>
      <w:r w:rsidDel="00000000" w:rsidR="00000000" w:rsidRPr="00000000">
        <w:rPr>
          <w:rtl w:val="0"/>
        </w:rPr>
        <w:t xml:space="preserve">  to perform deep competitor analysis and generate strategy briefs rooted in your organization’s specific SOPs.</w:t>
      </w:r>
    </w:p>
    <w:p w:rsidR="00000000" w:rsidDel="00000000" w:rsidP="00000000" w:rsidRDefault="00000000" w:rsidRPr="00000000" w14:paraId="0000000F">
      <w:pPr>
        <w:numPr>
          <w:ilvl w:val="0"/>
          <w:numId w:val="4"/>
        </w:numPr>
        <w:ind w:left="720" w:hanging="360"/>
        <w:rPr>
          <w:u w:val="none"/>
        </w:rPr>
      </w:pPr>
      <w:r w:rsidDel="00000000" w:rsidR="00000000" w:rsidRPr="00000000">
        <w:rPr>
          <w:b w:val="1"/>
          <w:bCs w:val="1"/>
          <w:rtl w:val="0"/>
        </w:rPr>
        <w:t xml:space="preserve">Social Media Content:</w:t>
      </w:r>
      <w:r w:rsidDel="00000000" w:rsidR="00000000" w:rsidRPr="00000000">
        <w:rPr>
          <w:rtl w:val="0"/>
        </w:rPr>
        <w:t xml:space="preserve">  Analyzes trending conversations and historical "best-of" content to draft high-engagement posts using proven storytelling frameworks.</w:t>
      </w:r>
    </w:p>
    <w:p w:rsidR="00000000" w:rsidDel="00000000" w:rsidP="00000000" w:rsidRDefault="00000000" w:rsidRPr="00000000" w14:paraId="00000010">
      <w:pPr>
        <w:numPr>
          <w:ilvl w:val="0"/>
          <w:numId w:val="4"/>
        </w:numPr>
        <w:ind w:left="720" w:hanging="360"/>
        <w:rPr>
          <w:u w:val="none"/>
        </w:rPr>
      </w:pPr>
      <w:r w:rsidDel="00000000" w:rsidR="00000000" w:rsidRPr="00000000">
        <w:rPr>
          <w:b w:val="1"/>
          <w:bCs w:val="1"/>
          <w:rtl w:val="0"/>
        </w:rPr>
        <w:t xml:space="preserve">Creative Design:</w:t>
      </w:r>
      <w:r w:rsidDel="00000000" w:rsidR="00000000" w:rsidRPr="00000000">
        <w:rPr>
          <w:rtl w:val="0"/>
        </w:rPr>
        <w:t xml:space="preserve">  Implements the  </w:t>
      </w:r>
      <w:r w:rsidDel="00000000" w:rsidR="00000000" w:rsidRPr="00000000">
        <w:rPr>
          <w:b w:val="1"/>
          <w:bCs w:val="1"/>
          <w:rtl w:val="0"/>
        </w:rPr>
        <w:t xml:space="preserve">Google Nano Banana model</w:t>
      </w:r>
      <w:r w:rsidDel="00000000" w:rsidR="00000000" w:rsidRPr="00000000">
        <w:rPr>
          <w:rtl w:val="0"/>
        </w:rPr>
        <w:t xml:space="preserve">  (via MCP) to generate on-brand visuals and infographics based on your specific style guides and color palettes.</w:t>
      </w:r>
    </w:p>
    <w:p w:rsidR="00000000" w:rsidDel="00000000" w:rsidP="00000000" w:rsidRDefault="00000000" w:rsidRPr="00000000" w14:paraId="00000011">
      <w:pPr>
        <w:numPr>
          <w:ilvl w:val="0"/>
          <w:numId w:val="4"/>
        </w:numPr>
        <w:ind w:left="720" w:hanging="360"/>
        <w:rPr>
          <w:u w:val="none"/>
        </w:rPr>
      </w:pPr>
      <w:r w:rsidDel="00000000" w:rsidR="00000000" w:rsidRPr="00000000">
        <w:rPr>
          <w:b w:val="1"/>
          <w:bCs w:val="1"/>
          <w:rtl w:val="0"/>
        </w:rPr>
        <w:t xml:space="preserve">Data Analysis:</w:t>
      </w:r>
      <w:r w:rsidDel="00000000" w:rsidR="00000000" w:rsidRPr="00000000">
        <w:rPr>
          <w:rtl w:val="0"/>
        </w:rPr>
        <w:t xml:space="preserve">  Processes complex datasets to generate interactive, informative dashboards, transforming raw metrics into actionable narratives.</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Campaign Presentation:</w:t>
      </w:r>
      <w:r w:rsidDel="00000000" w:rsidR="00000000" w:rsidRPr="00000000">
        <w:rPr>
          <w:rtl w:val="0"/>
        </w:rPr>
        <w:t xml:space="preserve">  Synthesizes research and data into polished, client-ready landing pages or presentation decks.</w:t>
      </w:r>
    </w:p>
    <w:p w:rsidR="00000000" w:rsidDel="00000000" w:rsidP="00000000" w:rsidRDefault="00000000" w:rsidRPr="00000000" w14:paraId="00000013">
      <w:pPr>
        <w:pStyle w:val="Heading5"/>
        <w:rPr/>
      </w:pPr>
      <w:bookmarkStart w:colFirst="0" w:colLast="0" w:name="_98v8kwxkiki" w:id="5"/>
      <w:bookmarkEnd w:id="5"/>
      <w:r w:rsidDel="00000000" w:rsidR="00000000" w:rsidRPr="00000000">
        <w:rPr>
          <w:rtl w:val="0"/>
        </w:rPr>
        <w:t xml:space="preserve">The "Show, Don't Just Tell" Principle</w:t>
      </w:r>
    </w:p>
    <w:p w:rsidR="00000000" w:rsidDel="00000000" w:rsidP="00000000" w:rsidRDefault="00000000" w:rsidRPr="00000000" w14:paraId="00000014">
      <w:pPr>
        <w:rPr/>
      </w:pPr>
      <w:r w:rsidDel="00000000" w:rsidR="00000000" w:rsidRPr="00000000">
        <w:rPr>
          <w:rtl w:val="0"/>
        </w:rPr>
        <w:t xml:space="preserve">Expert-level output requires more than instructions; it requires patterns. Skill creation must include a  </w:t>
      </w:r>
      <w:r w:rsidDel="00000000" w:rsidR="00000000" w:rsidRPr="00000000">
        <w:rPr>
          <w:b w:val="1"/>
          <w:bCs w:val="1"/>
          <w:rtl w:val="0"/>
        </w:rPr>
        <w:t xml:space="preserve">references/</w:t>
      </w:r>
      <w:r w:rsidDel="00000000" w:rsidR="00000000" w:rsidRPr="00000000">
        <w:rPr>
          <w:rtl w:val="0"/>
        </w:rPr>
        <w:t xml:space="preserve">  </w:t>
      </w:r>
      <w:r w:rsidDel="00000000" w:rsidR="00000000" w:rsidRPr="00000000">
        <w:rPr>
          <w:b w:val="1"/>
          <w:bCs w:val="1"/>
          <w:rtl w:val="0"/>
        </w:rPr>
        <w:t xml:space="preserve">folder</w:t>
      </w:r>
      <w:r w:rsidDel="00000000" w:rsidR="00000000" w:rsidRPr="00000000">
        <w:rPr>
          <w:rtl w:val="0"/>
        </w:rPr>
        <w:t xml:space="preserve">  within the skill structure containing "Best-in-Class" examples (PDFs or Markdown files). By providing the AI with high-quality references to analyze, we elevate the output from "generic AI" to "specialized expert."</w:t>
      </w:r>
    </w:p>
    <w:p w:rsidR="00000000" w:rsidDel="00000000" w:rsidP="00000000" w:rsidRDefault="00000000" w:rsidRPr="00000000" w14:paraId="00000015">
      <w:pPr>
        <w:pStyle w:val="Heading4"/>
        <w:rPr/>
      </w:pPr>
      <w:bookmarkStart w:colFirst="0" w:colLast="0" w:name="_i447sq20c9z" w:id="6"/>
      <w:bookmarkEnd w:id="6"/>
      <w:r w:rsidDel="00000000" w:rsidR="00000000" w:rsidRPr="00000000">
        <w:rPr>
          <w:rtl w:val="0"/>
        </w:rPr>
        <w:t xml:space="preserve">4. The "Loop Marketing" Framework: Preserving Human Authenticity</w:t>
      </w:r>
    </w:p>
    <w:p w:rsidR="00000000" w:rsidDel="00000000" w:rsidP="00000000" w:rsidRDefault="00000000" w:rsidRPr="00000000" w14:paraId="00000016">
      <w:pPr>
        <w:rPr/>
      </w:pPr>
      <w:r w:rsidDel="00000000" w:rsidR="00000000" w:rsidRPr="00000000">
        <w:rPr>
          <w:rtl w:val="0"/>
        </w:rPr>
        <w:t xml:space="preserve">The primary risk of AI implementation is "automated mediocrity." To counter this, we adopt the  </w:t>
      </w:r>
      <w:r w:rsidDel="00000000" w:rsidR="00000000" w:rsidRPr="00000000">
        <w:rPr>
          <w:b w:val="1"/>
          <w:bCs w:val="1"/>
          <w:rtl w:val="0"/>
        </w:rPr>
        <w:t xml:space="preserve">Loop Marketing</w:t>
      </w:r>
      <w:r w:rsidDel="00000000" w:rsidR="00000000" w:rsidRPr="00000000">
        <w:rPr>
          <w:rtl w:val="0"/>
        </w:rPr>
        <w:t xml:space="preserve">  framework. Backed by HubSpot research of  </w:t>
      </w:r>
      <w:r w:rsidDel="00000000" w:rsidR="00000000" w:rsidRPr="00000000">
        <w:rPr>
          <w:b w:val="1"/>
          <w:bCs w:val="1"/>
          <w:rtl w:val="0"/>
        </w:rPr>
        <w:t xml:space="preserve">1,800+ marketers</w:t>
      </w:r>
      <w:r w:rsidDel="00000000" w:rsidR="00000000" w:rsidRPr="00000000">
        <w:rPr>
          <w:rtl w:val="0"/>
        </w:rPr>
        <w:t xml:space="preserve"> , this model replaces the traditional linear funnel with a continuous cycle of growth that prioritizes human-led strategy over total automation.The framework consists of four continuous stages:</w:t>
      </w:r>
    </w:p>
    <w:p w:rsidR="00000000" w:rsidDel="00000000" w:rsidP="00000000" w:rsidRDefault="00000000" w:rsidRPr="00000000" w14:paraId="00000017">
      <w:pPr>
        <w:numPr>
          <w:ilvl w:val="0"/>
          <w:numId w:val="5"/>
        </w:numPr>
        <w:ind w:left="720" w:hanging="360"/>
        <w:rPr>
          <w:u w:val="none"/>
        </w:rPr>
      </w:pPr>
      <w:r w:rsidDel="00000000" w:rsidR="00000000" w:rsidRPr="00000000">
        <w:rPr>
          <w:b w:val="1"/>
          <w:bCs w:val="1"/>
          <w:rtl w:val="0"/>
        </w:rPr>
        <w:t xml:space="preserve">Express:</w:t>
      </w:r>
      <w:r w:rsidDel="00000000" w:rsidR="00000000" w:rsidRPr="00000000">
        <w:rPr>
          <w:rtl w:val="0"/>
        </w:rPr>
        <w:t xml:space="preserve">  Defining and maintaining the brand’s authentic voice and core message.</w:t>
      </w:r>
    </w:p>
    <w:p w:rsidR="00000000" w:rsidDel="00000000" w:rsidP="00000000" w:rsidRDefault="00000000" w:rsidRPr="00000000" w14:paraId="00000018">
      <w:pPr>
        <w:numPr>
          <w:ilvl w:val="0"/>
          <w:numId w:val="5"/>
        </w:numPr>
        <w:ind w:left="720" w:hanging="360"/>
        <w:rPr>
          <w:u w:val="none"/>
        </w:rPr>
      </w:pPr>
      <w:r w:rsidDel="00000000" w:rsidR="00000000" w:rsidRPr="00000000">
        <w:rPr>
          <w:b w:val="1"/>
          <w:bCs w:val="1"/>
          <w:rtl w:val="0"/>
        </w:rPr>
        <w:t xml:space="preserve">Tailor:</w:t>
      </w:r>
      <w:r w:rsidDel="00000000" w:rsidR="00000000" w:rsidRPr="00000000">
        <w:rPr>
          <w:rtl w:val="0"/>
        </w:rPr>
        <w:t xml:space="preserve">  Utilizing AI to personalize that message for diverse audience segments.</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bCs w:val="1"/>
          <w:rtl w:val="0"/>
        </w:rPr>
        <w:t xml:space="preserve">Amplify:</w:t>
      </w:r>
      <w:r w:rsidDel="00000000" w:rsidR="00000000" w:rsidRPr="00000000">
        <w:rPr>
          <w:rtl w:val="0"/>
        </w:rPr>
        <w:t xml:space="preserve">  Scaling and distributing content across the digital ecosystem.</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bCs w:val="1"/>
          <w:rtl w:val="0"/>
        </w:rPr>
        <w:t xml:space="preserve">Evolve:</w:t>
      </w:r>
      <w:r w:rsidDel="00000000" w:rsidR="00000000" w:rsidRPr="00000000">
        <w:rPr>
          <w:rtl w:val="0"/>
        </w:rPr>
        <w:t xml:space="preserve">  Using performance data to refine the strategy for the next cycle.Within this loop, AI handles the heavy lifting of personalization and optimization, while humans remain the "Team Leads" responsible for the creative spark and strategic direction. This ensures that every automated output remains anchored in authentic brand value.</w:t>
      </w:r>
    </w:p>
    <w:p w:rsidR="00000000" w:rsidDel="00000000" w:rsidP="00000000" w:rsidRDefault="00000000" w:rsidRPr="00000000" w14:paraId="0000001B">
      <w:pPr>
        <w:pStyle w:val="Heading4"/>
        <w:rPr/>
      </w:pPr>
      <w:bookmarkStart w:colFirst="0" w:colLast="0" w:name="_xmsp9h54eede" w:id="7"/>
      <w:bookmarkEnd w:id="7"/>
      <w:r w:rsidDel="00000000" w:rsidR="00000000" w:rsidRPr="00000000">
        <w:rPr>
          <w:rtl w:val="0"/>
        </w:rPr>
        <w:t xml:space="preserve">5. Orchestration: Managing High-Complexity Marketing Workflows</w:t>
      </w:r>
    </w:p>
    <w:p w:rsidR="00000000" w:rsidDel="00000000" w:rsidP="00000000" w:rsidRDefault="00000000" w:rsidRPr="00000000" w14:paraId="0000001C">
      <w:pPr>
        <w:rPr/>
      </w:pPr>
      <w:r w:rsidDel="00000000" w:rsidR="00000000" w:rsidRPr="00000000">
        <w:rPr>
          <w:rtl w:val="0"/>
        </w:rPr>
        <w:t xml:space="preserve">True operational efficiency is found in "Orchestration"—the parallelized execution of multiple skills to solve complex problems. This allows the AI to act as a project manager, delegating tasks to specialized sub-agents.</w:t>
      </w:r>
    </w:p>
    <w:p w:rsidR="00000000" w:rsidDel="00000000" w:rsidP="00000000" w:rsidRDefault="00000000" w:rsidRPr="00000000" w14:paraId="0000001D">
      <w:pPr>
        <w:pStyle w:val="Heading5"/>
        <w:rPr/>
      </w:pPr>
      <w:bookmarkStart w:colFirst="0" w:colLast="0" w:name="_a45z2mceui9c" w:id="8"/>
      <w:bookmarkEnd w:id="8"/>
      <w:r w:rsidDel="00000000" w:rsidR="00000000" w:rsidRPr="00000000">
        <w:rPr>
          <w:rtl w:val="0"/>
        </w:rPr>
        <w:t xml:space="preserve">Orchestration Methods</w:t>
      </w:r>
    </w:p>
    <w:p w:rsidR="00000000" w:rsidDel="00000000" w:rsidP="00000000" w:rsidRDefault="00000000" w:rsidRPr="00000000" w14:paraId="0000001E">
      <w:pPr>
        <w:rPr/>
      </w:pPr>
      <w:r w:rsidDel="00000000" w:rsidR="00000000" w:rsidRPr="00000000">
        <w:rPr>
          <w:rtl w:val="0"/>
        </w:rPr>
        <w:t xml:space="preserve">Method,Characteristics,Best Use Case</w:t>
      </w:r>
    </w:p>
    <w:p w:rsidR="00000000" w:rsidDel="00000000" w:rsidP="00000000" w:rsidRDefault="00000000" w:rsidRPr="00000000" w14:paraId="0000001F">
      <w:pPr>
        <w:rPr/>
      </w:pPr>
      <w:r w:rsidDel="00000000" w:rsidR="00000000" w:rsidRPr="00000000">
        <w:rPr>
          <w:rtl w:val="0"/>
        </w:rPr>
        <w:t xml:space="preserve">Sub-agents,Independent tasks; report back to a lead agent.,90% of use cases:  Parallel tasks like drafting a social post and its creative simultaneously.</w:t>
      </w:r>
    </w:p>
    <w:p w:rsidR="00000000" w:rsidDel="00000000" w:rsidP="00000000" w:rsidRDefault="00000000" w:rsidRPr="00000000" w14:paraId="00000020">
      <w:pPr>
        <w:rPr/>
      </w:pPr>
      <w:r w:rsidDel="00000000" w:rsidR="00000000" w:rsidRPr="00000000">
        <w:rPr>
          <w:rtl w:val="0"/>
        </w:rPr>
        <w:t xml:space="preserve">Agent Teams,Shared task lists; agents can  cross-review  each other's work in separate sessions.,High-complexity workflows:  Tasks requiring peer feedback or multi-stage verification (Note: Higher token cost).</w:t>
      </w:r>
    </w:p>
    <w:p w:rsidR="00000000" w:rsidDel="00000000" w:rsidP="00000000" w:rsidRDefault="00000000" w:rsidRPr="00000000" w14:paraId="00000021">
      <w:pPr>
        <w:rPr/>
      </w:pPr>
      <w:r w:rsidDel="00000000" w:rsidR="00000000" w:rsidRPr="00000000">
        <w:rPr>
          <w:b w:val="1"/>
          <w:bCs w:val="1"/>
          <w:rtl w:val="0"/>
        </w:rPr>
        <w:t xml:space="preserve">Example: The Quarterly Review Workflow</w:t>
      </w:r>
      <w:r w:rsidDel="00000000" w:rsidR="00000000" w:rsidRPr="00000000">
        <w:rPr>
          <w:rtl w:val="0"/>
        </w:rPr>
        <w:t xml:space="preserve">  In a single command, the "Team Lead" AI can trigger three parallel sub-agents: one conducting market research via Perplexity, one building an interactive data dashboard, and a third synthesizing both inputs into a slide deck using the Campaign Presenter skill. This parallelized approach reduces a 10-hour human task to 10 minutes of automated orchestration.</w:t>
      </w:r>
    </w:p>
    <w:p w:rsidR="00000000" w:rsidDel="00000000" w:rsidP="00000000" w:rsidRDefault="00000000" w:rsidRPr="00000000" w14:paraId="00000022">
      <w:pPr>
        <w:pStyle w:val="Heading4"/>
        <w:rPr/>
      </w:pPr>
      <w:bookmarkStart w:colFirst="0" w:colLast="0" w:name="_bbuqh4wlpwye" w:id="9"/>
      <w:bookmarkEnd w:id="9"/>
      <w:r w:rsidDel="00000000" w:rsidR="00000000" w:rsidRPr="00000000">
        <w:rPr>
          <w:rtl w:val="0"/>
        </w:rPr>
        <w:t xml:space="preserve">6. Scaling and Portability: The AI Marketing Plugin Ecosystem</w:t>
      </w:r>
    </w:p>
    <w:p w:rsidR="00000000" w:rsidDel="00000000" w:rsidP="00000000" w:rsidRDefault="00000000" w:rsidRPr="00000000" w14:paraId="00000023">
      <w:pPr>
        <w:rPr/>
      </w:pPr>
      <w:r w:rsidDel="00000000" w:rsidR="00000000" w:rsidRPr="00000000">
        <w:rPr>
          <w:rtl w:val="0"/>
        </w:rPr>
        <w:t xml:space="preserve">The ultimate goal of this roadmap is "Portability." By packaging specialized skills into "Plugins," we transform individual workflows into mobile assets that can be deployed across different brands or projects instantly.</w:t>
      </w:r>
    </w:p>
    <w:p w:rsidR="00000000" w:rsidDel="00000000" w:rsidP="00000000" w:rsidRDefault="00000000" w:rsidRPr="00000000" w14:paraId="00000024">
      <w:pPr>
        <w:pStyle w:val="Heading5"/>
        <w:rPr/>
      </w:pPr>
      <w:bookmarkStart w:colFirst="0" w:colLast="0" w:name="_9m5bsvt91pbh" w:id="10"/>
      <w:bookmarkEnd w:id="10"/>
      <w:r w:rsidDel="00000000" w:rsidR="00000000" w:rsidRPr="00000000">
        <w:rPr>
          <w:rtl w:val="0"/>
        </w:rPr>
        <w:t xml:space="preserve">Step-by-Step Plugin Development:</w:t>
      </w:r>
    </w:p>
    <w:p w:rsidR="00000000" w:rsidDel="00000000" w:rsidP="00000000" w:rsidRDefault="00000000" w:rsidRPr="00000000" w14:paraId="00000025">
      <w:pPr>
        <w:numPr>
          <w:ilvl w:val="0"/>
          <w:numId w:val="2"/>
        </w:numPr>
        <w:ind w:left="720" w:hanging="360"/>
        <w:rPr>
          <w:u w:val="none"/>
        </w:rPr>
      </w:pPr>
      <w:r w:rsidDel="00000000" w:rsidR="00000000" w:rsidRPr="00000000">
        <w:rPr>
          <w:b w:val="1"/>
          <w:bCs w:val="1"/>
          <w:rtl w:val="0"/>
        </w:rPr>
        <w:t xml:space="preserve">Bundle:</w:t>
      </w:r>
      <w:r w:rsidDel="00000000" w:rsidR="00000000" w:rsidRPr="00000000">
        <w:rPr>
          <w:rtl w:val="0"/>
        </w:rPr>
        <w:t xml:space="preserve">  Gather skill files, reference folders, and SOPs into a single directory.</w:t>
      </w:r>
    </w:p>
    <w:p w:rsidR="00000000" w:rsidDel="00000000" w:rsidP="00000000" w:rsidRDefault="00000000" w:rsidRPr="00000000" w14:paraId="00000026">
      <w:pPr>
        <w:numPr>
          <w:ilvl w:val="0"/>
          <w:numId w:val="2"/>
        </w:numPr>
        <w:ind w:left="720" w:hanging="360"/>
        <w:rPr>
          <w:u w:val="none"/>
        </w:rPr>
      </w:pPr>
      <w:r w:rsidDel="00000000" w:rsidR="00000000" w:rsidRPr="00000000">
        <w:rPr>
          <w:b w:val="1"/>
          <w:bCs w:val="1"/>
          <w:rtl w:val="0"/>
        </w:rPr>
        <w:t xml:space="preserve">Define Commands:</w:t>
      </w:r>
      <w:r w:rsidDel="00000000" w:rsidR="00000000" w:rsidRPr="00000000">
        <w:rPr>
          <w:rtl w:val="0"/>
        </w:rPr>
        <w:t xml:space="preserve">  Create custom "slash commands" (e.g., /landing-page) that trigger automated multi-skill workflows.</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Package:</w:t>
      </w:r>
      <w:r w:rsidDel="00000000" w:rsidR="00000000" w:rsidRPr="00000000">
        <w:rPr>
          <w:rtl w:val="0"/>
        </w:rPr>
        <w:t xml:space="preserve">  Format the bundle as a GitHub repository or a zip file for easy distribution.</w:t>
      </w:r>
    </w:p>
    <w:p w:rsidR="00000000" w:rsidDel="00000000" w:rsidP="00000000" w:rsidRDefault="00000000" w:rsidRPr="00000000" w14:paraId="00000028">
      <w:pPr>
        <w:pStyle w:val="Heading5"/>
        <w:rPr/>
      </w:pPr>
      <w:bookmarkStart w:colFirst="0" w:colLast="0" w:name="_5s2woyhzby0q" w:id="11"/>
      <w:bookmarkEnd w:id="11"/>
      <w:r w:rsidDel="00000000" w:rsidR="00000000" w:rsidRPr="00000000">
        <w:rPr>
          <w:rtl w:val="0"/>
        </w:rPr>
        <w:t xml:space="preserve">Cross-Platform Deployment:</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Claude Code:</w:t>
      </w:r>
      <w:r w:rsidDel="00000000" w:rsidR="00000000" w:rsidRPr="00000000">
        <w:rPr>
          <w:rtl w:val="0"/>
        </w:rPr>
        <w:t xml:space="preserve">  Deploy skills via a terminal-based interface for technical marketers and developers who require high-speed, command-line execution.</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Claude Cowork:</w:t>
      </w:r>
      <w:r w:rsidDel="00000000" w:rsidR="00000000" w:rsidRPr="00000000">
        <w:rPr>
          <w:rtl w:val="0"/>
        </w:rPr>
        <w:t xml:space="preserve">  Deploy the exact same skills in a non-technical, browser-based office interface for social media managers and account executives.By building a plugin ecosystem, an organization ensures that its unique marketing intelligence is not trapped in a single conversation, but is a portable, scalable asset that drives consistent excellence across the entire enterprise.</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