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Led protocol development and IRB approval process for 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 structured laparoscopic training</w:t>
      </w:r>
    </w:p>
    <w:p>
      <w:pPr>
        <w:pStyle w:val="Compact"/>
        <w:numPr>
          <w:ilvl w:val="1"/>
          <w:numId w:val="1003"/>
        </w:numPr>
      </w:pPr>
      <w:r>
        <w:t xml:space="preserve">Published results 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 R programming 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t xml:space="preserve">Focus on autosomal dominant diseases 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 competitive grant funding 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 Departments of Liver Transplant &amp; Hepatobiliary and Pancreatic Surgery,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 liver transplant recipients and living donor candidates</w:t>
      </w:r>
    </w:p>
    <w:p>
      <w:pPr>
        <w:pStyle w:val="Compact"/>
        <w:numPr>
          <w:ilvl w:val="1"/>
          <w:numId w:val="1008"/>
        </w:numPr>
      </w:pPr>
      <w:r>
        <w:t xml:space="preserve">Managed transplant outcomes biorepository with specimens from</w:t>
      </w:r>
      <w:r>
        <w:t xml:space="preserve"> </w:t>
      </w:r>
      <w:r>
        <w:rPr>
          <w:b/>
          <w:bCs/>
        </w:rPr>
        <w:t xml:space="preserve">500+ transplant patients</w:t>
      </w:r>
      <w:r>
        <w:t xml:space="preserve"> </w:t>
      </w:r>
      <w:r>
        <w:t xml:space="preserve">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 liver transplant clinical trials 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 transplant surgeons on publications analyzing post-transplant outcomes 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 transplant surgery research 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phosphor-sequences from a high throughput phosphoproteomic analysis of time course egg lysates of 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42" w:name="publications"/>
    <w:p>
      <w:pPr>
        <w:pStyle w:val="Heading2"/>
      </w:pPr>
      <w:r>
        <w:t xml:space="preserve">Publications</w:t>
      </w:r>
    </w:p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Morada, AO</w:t>
      </w:r>
      <w:r>
        <w:t xml:space="preserve">, Chen CK, Akateh C, Marvin MR, Kotru A. Late Parotid Recurrence of Hepatocellular Carcinoma Following Liver Transplantation: A Case Report,</w:t>
      </w:r>
      <w:r>
        <w:t xml:space="preserve"> </w:t>
      </w:r>
      <w:r>
        <w:rPr>
          <w:i/>
          <w:iCs/>
        </w:rPr>
        <w:t xml:space="preserve">Case Reports in Hepatology</w:t>
      </w:r>
      <w:r>
        <w:t xml:space="preserve">, 2025, 2965476, 5 pages, 2025. [</w:t>
      </w:r>
      <w:hyperlink r:id="rId2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Sultany M, et al. 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 [</w:t>
      </w:r>
      <w:hyperlink r:id="rId2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5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et al. 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 [</w:t>
      </w:r>
      <w:hyperlink r:id="rId2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7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 [</w:t>
      </w:r>
      <w:hyperlink r:id="rId28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9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 [</w:t>
      </w:r>
      <w:hyperlink r:id="rId30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1">
        <w:r>
          <w:rPr>
            <w:rStyle w:val="Hyperlink"/>
          </w:rPr>
          <w:t xml:space="preserve">PMC Free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Perry M, et al. 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 [</w:t>
      </w:r>
      <w:hyperlink r:id="rId32">
        <w:r>
          <w:rPr>
            <w:rStyle w:val="Hyperlink"/>
          </w:rPr>
          <w:t xml:space="preserve">Open Access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et al. 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 [</w:t>
      </w:r>
      <w:hyperlink r:id="rId33">
        <w:r>
          <w:rPr>
            <w:rStyle w:val="Hyperlink"/>
          </w:rPr>
          <w:t xml:space="preserve">Preprint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Guo H, Garcia-Vedrenne AE, Isserlin R, et al. 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26572944. [</w:t>
      </w:r>
      <w:hyperlink r:id="rId3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5">
        <w:r>
          <w:rPr>
            <w:rStyle w:val="Hyperlink"/>
          </w:rPr>
          <w:t xml:space="preserve">PubMed</w:t>
        </w:r>
      </w:hyperlink>
      <w:r>
        <w:t xml:space="preserve">]</w:t>
      </w:r>
    </w:p>
    <w:bookmarkEnd w:id="36"/>
    <w:bookmarkStart w:id="38" w:name="manuscripts-under-reviewin-preparation"/>
    <w:p>
      <w:pPr>
        <w:pStyle w:val="Heading3"/>
      </w:pPr>
      <w:r>
        <w:t xml:space="preserve">Manuscripts Under Review/In Preparation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Kropp Lopez A, Droney AC, Matera D, Lopez R. Traumatic Page Kidney: A Systematic Review and Case Report of Bilateral Gerota’s Fascia Release.</w:t>
      </w:r>
      <w:r>
        <w:t xml:space="preserve"> </w:t>
      </w:r>
      <w:r>
        <w:rPr>
          <w:i/>
          <w:iCs/>
        </w:rPr>
        <w:t xml:space="preserve">Submitted to Trauma Surgery &amp; Acute Care Open</w:t>
      </w:r>
      <w:r>
        <w:t xml:space="preserve">; in review.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Chen CK, Akateh C, Marvin MR, Kotru A. Hepatocellular Carcinoma Metastasis to Salivary Glands: A Systematic Review of Diagnostic Challenges and Survival Outcomes.</w:t>
      </w:r>
      <w:r>
        <w:t xml:space="preserve"> </w:t>
      </w:r>
      <w:r>
        <w:rPr>
          <w:i/>
          <w:iCs/>
        </w:rPr>
        <w:t xml:space="preserve">Submitted to Journal of Gastrointestinal Oncology</w:t>
      </w:r>
      <w:r>
        <w:t xml:space="preserve">; in review.</w:t>
      </w:r>
    </w:p>
    <w:p>
      <w:pPr>
        <w:numPr>
          <w:ilvl w:val="0"/>
          <w:numId w:val="1016"/>
        </w:numPr>
      </w:pPr>
      <w:r>
        <w:t xml:space="preserve">Dewar Z,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Senapathi H, Rittenberger J. Ultrasound versus combined ultrasound and modified Seldinger technique in obtaining difficult peripheral intravenous access: A systematic review and meta-analysis. [</w:t>
      </w:r>
      <w:hyperlink r:id="rId37">
        <w:r>
          <w:rPr>
            <w:rStyle w:val="Hyperlink"/>
          </w:rPr>
          <w:t xml:space="preserve">PROSPERO Protocol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Manuscript in preparation</w:t>
      </w:r>
    </w:p>
    <w:p>
      <w:pPr>
        <w:numPr>
          <w:ilvl w:val="0"/>
          <w:numId w:val="1016"/>
        </w:numPr>
      </w:pPr>
      <w:r>
        <w:t xml:space="preserve">Seungwoo C,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et al. Exploring the quality of internal medicine resident ambulatory patient care: a feasibility study.</w:t>
      </w:r>
      <w:r>
        <w:t xml:space="preserve"> </w:t>
      </w:r>
      <w:r>
        <w:rPr>
          <w:i/>
          <w:iCs/>
        </w:rPr>
        <w:t xml:space="preserve">Manuscript in preparation</w:t>
      </w:r>
    </w:p>
    <w:bookmarkEnd w:id="38"/>
    <w:bookmarkStart w:id="40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 [</w:t>
      </w:r>
      <w:hyperlink r:id="rId39">
        <w:r>
          <w:rPr>
            <w:rStyle w:val="Hyperlink"/>
          </w:rPr>
          <w:t xml:space="preserve">Full Article</w:t>
        </w:r>
      </w:hyperlink>
      <w:r>
        <w:t xml:space="preserve">]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40"/>
    <w:bookmarkStart w:id="41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41"/>
    <w:bookmarkEnd w:id="42"/>
    <w:bookmarkStart w:id="47" w:name="presentations"/>
    <w:p>
      <w:pPr>
        <w:pStyle w:val="Heading2"/>
      </w:pPr>
      <w:r>
        <w:t xml:space="preserve">Presentations</w:t>
      </w:r>
    </w:p>
    <w:bookmarkStart w:id="43" w:name="oral-presentations"/>
    <w:p>
      <w:pPr>
        <w:pStyle w:val="Heading3"/>
      </w:pPr>
      <w:r>
        <w:t xml:space="preserve">Oral Presentations</w:t>
      </w:r>
    </w:p>
    <w:p>
      <w:pPr>
        <w:pStyle w:val="FirstParagraph"/>
      </w:pPr>
      <w:r>
        <w:rPr>
          <w:i/>
          <w:iCs/>
        </w:rPr>
        <w:t xml:space="preserve">Accepted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Accepted for 2026 Association for Surgical Education Annual Meeting,</w:t>
      </w:r>
      <w:r>
        <w:t xml:space="preserve"> </w:t>
      </w:r>
      <w:r>
        <w:t xml:space="preserve">Atlanta, GA. April 29 2026.</w:t>
      </w:r>
    </w:p>
    <w:p>
      <w:pPr>
        <w:pStyle w:val="FirstParagraph"/>
      </w:pPr>
      <w:r>
        <w:rPr>
          <w:i/>
          <w:iCs/>
        </w:rPr>
        <w:t xml:space="preserve">Completed</w:t>
      </w:r>
    </w:p>
    <w:p>
      <w:pPr>
        <w:numPr>
          <w:ilvl w:val="0"/>
          <w:numId w:val="1020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43"/>
    <w:bookmarkStart w:id="46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Chen CK, Akateh C, Marvin MR, Kotru A. Uncommon Sites of Hepatocellular Carcinoma Metastasis: A Systematic Review of Salivary Gland Involvement.</w:t>
      </w:r>
      <w:r>
        <w:t xml:space="preserve"> </w:t>
      </w:r>
      <w:r>
        <w:rPr>
          <w:i/>
          <w:iCs/>
        </w:rPr>
        <w:t xml:space="preserve">International Liver Transplantation Society (ILTS) Annual Congress 2025</w:t>
      </w:r>
      <w:r>
        <w:t xml:space="preserve">, Singapore, May 2025.</w:t>
      </w:r>
      <w:r>
        <w:t xml:space="preserve"> </w:t>
      </w:r>
      <w:hyperlink r:id="rId44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45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1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1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1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1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46"/>
    <w:bookmarkEnd w:id="47"/>
    <w:bookmarkStart w:id="48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48"/>
    <w:bookmarkStart w:id="49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 Regional Education Academy for Careers in Health (REACH-HEI),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Provided academic enrichment and mentoring for low-income and first-generation college students in northeastern Pennsylvania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 Asian Pacific American Medical Student Association (APAMSA),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Led organizational leadership and community service initiatives for APAMSA chapter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 MD Peer Mentorship Program, Geisinger Commonwealth School of Medicine</w:t>
      </w:r>
    </w:p>
    <w:p>
      <w:pPr>
        <w:pStyle w:val="Compact"/>
        <w:numPr>
          <w:ilvl w:val="1"/>
          <w:numId w:val="1026"/>
        </w:numPr>
      </w:pPr>
      <w:r>
        <w:t xml:space="preserve">Mentored first- and second-year medical students during their transition to medical school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 Hacking Health Competition, Geisinger Steel Institute for Health Innovation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 provider burnout and operational efficiency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 Plastic Surgery Interest Group, Geisinger Commonwealth School of Medicine</w:t>
      </w:r>
    </w:p>
    <w:p>
      <w:pPr>
        <w:pStyle w:val="Compact"/>
        <w:numPr>
          <w:ilvl w:val="1"/>
          <w:numId w:val="1028"/>
        </w:numPr>
      </w:pPr>
      <w:r>
        <w:t xml:space="preserve">Organized clinical skills workshops and coordinated with anatomy lab for realistic surgical simulation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 Cedars-Sinai Whipplers, Pancreatic Cancer Action Network (PanCAN), Los Angeles, CA</w:t>
      </w:r>
    </w:p>
    <w:p>
      <w:pPr>
        <w:pStyle w:val="Compact"/>
        <w:numPr>
          <w:ilvl w:val="1"/>
          <w:numId w:val="1029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9"/>
        </w:numPr>
      </w:pPr>
      <w:r>
        <w:t xml:space="preserve">Recruited 150+ team members through outreach and marketing initiatives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 UC Irvine School of Medicine Pediatric Interest Group, Orange County, CA</w:t>
      </w:r>
    </w:p>
    <w:p>
      <w:pPr>
        <w:pStyle w:val="Compact"/>
        <w:numPr>
          <w:ilvl w:val="1"/>
          <w:numId w:val="1030"/>
        </w:numPr>
      </w:pPr>
      <w:r>
        <w:t xml:space="preserve">Health educator teaching nutrition and exercise to elementary students through UCI/CHOC partnership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 COPE Health Solutions, St. John’s/Pleasant Valley Medical Centers, Ventura County, CA</w:t>
      </w:r>
    </w:p>
    <w:p>
      <w:pPr>
        <w:pStyle w:val="Compact"/>
        <w:numPr>
          <w:ilvl w:val="1"/>
          <w:numId w:val="1031"/>
        </w:numPr>
      </w:pPr>
      <w:r>
        <w:t xml:space="preserve">Rotational volunteer experience across multiple clinical departments including emergency medicine and surgery</w:t>
      </w:r>
    </w:p>
    <w:bookmarkEnd w:id="49"/>
    <w:bookmarkStart w:id="50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3"/>
        </w:numPr>
      </w:pPr>
      <w:r>
        <w:t xml:space="preserve">R Programming: Advanced statistical analysis of 92,297+ patient genomic datasets, clinical outcomes research</w:t>
      </w:r>
    </w:p>
    <w:p>
      <w:pPr>
        <w:pStyle w:val="Compact"/>
        <w:numPr>
          <w:ilvl w:val="1"/>
          <w:numId w:val="1033"/>
        </w:numPr>
      </w:pPr>
      <w:r>
        <w:t xml:space="preserve">Python: Data science applications, machine learning implementations</w:t>
      </w:r>
    </w:p>
    <w:p>
      <w:pPr>
        <w:pStyle w:val="Compact"/>
        <w:numPr>
          <w:ilvl w:val="1"/>
          <w:numId w:val="1033"/>
        </w:numPr>
      </w:pPr>
      <w:r>
        <w:t xml:space="preserve">SQL: Database querying and management for clinical research studies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4"/>
        </w:numPr>
      </w:pPr>
      <w:r>
        <w:t xml:space="preserve">Large-scale data analysis: Genomic medicine applications, clinical outcomes research</w:t>
      </w:r>
    </w:p>
    <w:p>
      <w:pPr>
        <w:pStyle w:val="Compact"/>
        <w:numPr>
          <w:ilvl w:val="1"/>
          <w:numId w:val="1034"/>
        </w:numPr>
      </w:pPr>
      <w:r>
        <w:t xml:space="preserve">Statistical modeling: High-volume hypothesis testing, biostatistics</w:t>
      </w:r>
    </w:p>
    <w:p>
      <w:pPr>
        <w:pStyle w:val="Compact"/>
        <w:numPr>
          <w:ilvl w:val="1"/>
          <w:numId w:val="1034"/>
        </w:numPr>
      </w:pPr>
      <w:r>
        <w:t xml:space="preserve">Biorepository management: Specimen coordination for translational research studies</w:t>
      </w:r>
    </w:p>
    <w:p>
      <w:pPr>
        <w:pStyle w:val="Compact"/>
        <w:numPr>
          <w:ilvl w:val="1"/>
          <w:numId w:val="1034"/>
        </w:numPr>
      </w:pPr>
      <w:r>
        <w:t xml:space="preserve">Literature synthesis: Systematic review methodology, evidence-based analysis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5"/>
        </w:numPr>
      </w:pPr>
      <w:r>
        <w:t xml:space="preserve">AI for Medicine - DeepLearning.AI (2020): Medical imaging, clinical prediction models</w:t>
      </w:r>
    </w:p>
    <w:p>
      <w:pPr>
        <w:pStyle w:val="Compact"/>
        <w:numPr>
          <w:ilvl w:val="1"/>
          <w:numId w:val="1035"/>
        </w:numPr>
      </w:pPr>
      <w:r>
        <w:t xml:space="preserve">Machine Learning - Stanford University (2017): Supervised/unsupervised learning algorithms</w:t>
      </w:r>
    </w:p>
    <w:p>
      <w:pPr>
        <w:pStyle w:val="Compact"/>
        <w:numPr>
          <w:ilvl w:val="1"/>
          <w:numId w:val="1035"/>
        </w:numPr>
      </w:pPr>
      <w:r>
        <w:t xml:space="preserve">Data Science Specialization - Johns Hopkins University (2016): R programming, statistical inference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6"/>
        </w:numPr>
      </w:pPr>
      <w:r>
        <w:t xml:space="preserve">Bleeding Control Basic - American College of Surgeons (2017)</w:t>
      </w:r>
    </w:p>
    <w:p>
      <w:pPr>
        <w:pStyle w:val="Compact"/>
        <w:numPr>
          <w:ilvl w:val="1"/>
          <w:numId w:val="1036"/>
        </w:numPr>
      </w:pPr>
      <w:r>
        <w:t xml:space="preserve">Emergency Medical Technician - California EMSA License E084811 (2011-2017)</w:t>
      </w:r>
    </w:p>
    <w:bookmarkEnd w:id="50"/>
    <w:bookmarkStart w:id="51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7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7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7"/>
        </w:numPr>
      </w:pPr>
      <w:r>
        <w:t xml:space="preserve">Pennsylvania Medical Society</w:t>
      </w:r>
    </w:p>
    <w:bookmarkEnd w:id="51"/>
    <w:bookmarkStart w:id="52" w:name="cultural-competencies"/>
    <w:p>
      <w:pPr>
        <w:pStyle w:val="Heading2"/>
      </w:pPr>
      <w:r>
        <w:t xml:space="preserve">Cultural Competencies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Transgender Conference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39"/>
        </w:numPr>
      </w:pPr>
      <w:r>
        <w:t xml:space="preserve">Engaged in training to learn and support unique health needs of transgender individuals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Safe Zone Trained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0"/>
        </w:numPr>
      </w:pPr>
      <w:r>
        <w:t xml:space="preserve">Acquired understanding of importance of language in creating affirming environments for LGBTQ individuals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Cross-Cultural Communication Trained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1"/>
        </w:numPr>
      </w:pPr>
      <w:r>
        <w:t xml:space="preserve">Engaged in interactive activity to experience how culture plays vital role in navigating cultural spaces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Microaggression Training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2"/>
        </w:numPr>
      </w:pPr>
      <w:r>
        <w:t xml:space="preserve">Interactive discussion regarding techniques to minimize microaggressions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Community Action Poverty Simulation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3"/>
        </w:numPr>
      </w:pPr>
      <w:r>
        <w:t xml:space="preserve">Interactive, immersive experience to gain awareness of poverty and understand experiences of those living in low-income environment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Psychiatric Disability Empathy Training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4"/>
        </w:numPr>
      </w:pPr>
      <w:r>
        <w:t xml:space="preserve">Three-hour interactive training session on performing mental status exam in mock psychiatric emergency room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People with Disabilities as Teachers (PDAT) Training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5"/>
        </w:numPr>
      </w:pPr>
      <w:r>
        <w:t xml:space="preserve">Communication with partners at Center for Independent Living to understand life and interactions of those living with disabilities</w:t>
      </w:r>
    </w:p>
    <w:bookmarkEnd w:id="52"/>
    <w:bookmarkStart w:id="53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46"/>
        </w:numPr>
      </w:pPr>
      <w:r>
        <w:t xml:space="preserve">Photography: Nikon D60 with 50mm F/1.8G and 18-270mm F/3.5-6.3 lens</w:t>
      </w:r>
    </w:p>
    <w:p>
      <w:pPr>
        <w:pStyle w:val="Compact"/>
        <w:numPr>
          <w:ilvl w:val="0"/>
          <w:numId w:val="1046"/>
        </w:numPr>
      </w:pPr>
      <w:r>
        <w:t xml:space="preserve">Programming and Data Analytics: Proficient with R and Python (GitHub profile: moradaao)</w:t>
      </w:r>
    </w:p>
    <w:p>
      <w:pPr>
        <w:pStyle w:val="Compact"/>
        <w:numPr>
          <w:ilvl w:val="0"/>
          <w:numId w:val="1046"/>
        </w:numPr>
      </w:pPr>
      <w:r>
        <w:t xml:space="preserve">Fantasy Sports: 9-year basketball commissioner; basketball, football, and baseball champion</w:t>
      </w:r>
    </w:p>
    <w:p>
      <w:pPr>
        <w:pStyle w:val="Compact"/>
        <w:numPr>
          <w:ilvl w:val="0"/>
          <w:numId w:val="1046"/>
        </w:numPr>
      </w:pPr>
      <w:r>
        <w:t xml:space="preserve">Fitness: Backpacking, bowling, cycling, hiking, lifting, and running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/presentations/2021-sages-poster.pdf" TargetMode="External" /><Relationship Type="http://schemas.openxmlformats.org/officeDocument/2006/relationships/hyperlink" Id="rId44" Target="./presentations/2025-ilts-poster.pdf" TargetMode="External" /><Relationship Type="http://schemas.openxmlformats.org/officeDocument/2006/relationships/hyperlink" Id="rId29" Target="./publications/2022-sr-ileostomy-malig.pdf" TargetMode="External" /><Relationship Type="http://schemas.openxmlformats.org/officeDocument/2006/relationships/hyperlink" Id="rId23" Target="./publications/2025-cr-parotid-hcc-mets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4" Target="https://doi.org/10.1002/pmic.201500159" TargetMode="External" /><Relationship Type="http://schemas.openxmlformats.org/officeDocument/2006/relationships/hyperlink" Id="rId28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3" Target="https://doi.org/10.1101/2021.04.12.21255201" TargetMode="External" /><Relationship Type="http://schemas.openxmlformats.org/officeDocument/2006/relationships/hyperlink" Id="rId30" Target="https://doi.org/10.1136/bcr-2021-247609" TargetMode="External" /><Relationship Type="http://schemas.openxmlformats.org/officeDocument/2006/relationships/hyperlink" Id="rId22" Target="https://doi.org/10.1155/crhe/2965476" TargetMode="External" /><Relationship Type="http://schemas.openxmlformats.org/officeDocument/2006/relationships/hyperlink" Id="rId32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5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7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1" Target="https://www.ncbi.nlm.nih.gov/pmc/articles/PMC8948397/" TargetMode="External" /><Relationship Type="http://schemas.openxmlformats.org/officeDocument/2006/relationships/hyperlink" Id="rId39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/presentations/2021-sages-poster.pdf" TargetMode="External" /><Relationship Type="http://schemas.openxmlformats.org/officeDocument/2006/relationships/hyperlink" Id="rId44" Target="./presentations/2025-ilts-poster.pdf" TargetMode="External" /><Relationship Type="http://schemas.openxmlformats.org/officeDocument/2006/relationships/hyperlink" Id="rId29" Target="./publications/2022-sr-ileostomy-malig.pdf" TargetMode="External" /><Relationship Type="http://schemas.openxmlformats.org/officeDocument/2006/relationships/hyperlink" Id="rId23" Target="./publications/2025-cr-parotid-hcc-mets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4" Target="https://doi.org/10.1002/pmic.201500159" TargetMode="External" /><Relationship Type="http://schemas.openxmlformats.org/officeDocument/2006/relationships/hyperlink" Id="rId28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3" Target="https://doi.org/10.1101/2021.04.12.21255201" TargetMode="External" /><Relationship Type="http://schemas.openxmlformats.org/officeDocument/2006/relationships/hyperlink" Id="rId30" Target="https://doi.org/10.1136/bcr-2021-247609" TargetMode="External" /><Relationship Type="http://schemas.openxmlformats.org/officeDocument/2006/relationships/hyperlink" Id="rId22" Target="https://doi.org/10.1155/crhe/2965476" TargetMode="External" /><Relationship Type="http://schemas.openxmlformats.org/officeDocument/2006/relationships/hyperlink" Id="rId32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5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7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1" Target="https://www.ncbi.nlm.nih.gov/pmc/articles/PMC8948397/" TargetMode="External" /><Relationship Type="http://schemas.openxmlformats.org/officeDocument/2006/relationships/hyperlink" Id="rId39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2026-02-02T12:15:20Z</dcterms:created>
  <dcterms:modified xsi:type="dcterms:W3CDTF">2026-02-02T12:15:20Z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