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phospho-sequences from a high throughput phosphoproteomic analysis of time course egg lysates of</w:t>
      </w:r>
      <w:r>
        <w:t xml:space="preserve"> </w:t>
      </w:r>
      <w:r>
        <w:rPr>
          <w:i/>
          <w:iCs/>
        </w:rPr>
        <w:t xml:space="preserve">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2" w:name="publications"/>
    <w:p>
      <w:pPr>
        <w:pStyle w:val="Heading2"/>
      </w:pPr>
      <w:r>
        <w:t xml:space="preserve">Publications</w:t>
      </w:r>
    </w:p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0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1">
        <w:r>
          <w:rPr>
            <w:rStyle w:val="Hyperlink"/>
          </w:rPr>
          <w:t xml:space="preserve">PMC Free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2">
        <w:r>
          <w:rPr>
            <w:rStyle w:val="Hyperlink"/>
          </w:rPr>
          <w:t xml:space="preserve">Open Access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 [</w:t>
      </w:r>
      <w:hyperlink r:id="rId3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5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36"/>
    <w:bookmarkStart w:id="38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Kropp Lopez A, Droney AC, Matera D, Lopez R. Traumatic Page Kidney: A Systematic Review and Case Report of Bilateral Gerota’s Fascia Release.</w:t>
      </w:r>
      <w:r>
        <w:t xml:space="preserve"> </w:t>
      </w:r>
      <w:r>
        <w:rPr>
          <w:i/>
          <w:iCs/>
        </w:rPr>
        <w:t xml:space="preserve">Submitted to Trauma Surgery &amp; Acute Care Open</w:t>
      </w:r>
      <w:r>
        <w:t xml:space="preserve">; in review.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Submitted to Journal of Gastrointestinal Oncology</w:t>
      </w:r>
      <w:r>
        <w:t xml:space="preserve">; in review.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 [</w:t>
      </w:r>
      <w:hyperlink r:id="rId37">
        <w:r>
          <w:rPr>
            <w:rStyle w:val="Hyperlink"/>
          </w:rPr>
          <w:t xml:space="preserve">PROSPERO Protocol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8"/>
    <w:bookmarkStart w:id="40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39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40"/>
    <w:bookmarkStart w:id="41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41"/>
    <w:bookmarkEnd w:id="42"/>
    <w:bookmarkStart w:id="47" w:name="presentations"/>
    <w:p>
      <w:pPr>
        <w:pStyle w:val="Heading2"/>
      </w:pPr>
      <w:r>
        <w:t xml:space="preserve">Presentations</w:t>
      </w:r>
    </w:p>
    <w:bookmarkStart w:id="43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Accepted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Accepted for 2026 Association for Surgical Education Annual Meeting,</w:t>
      </w:r>
      <w:r>
        <w:t xml:space="preserve"> </w:t>
      </w:r>
      <w:r>
        <w:t xml:space="preserve">Atlanta, GA. April 29 2026.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3"/>
    <w:bookmarkStart w:id="46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  <w:iCs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44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5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6"/>
    <w:bookmarkEnd w:id="47"/>
    <w:bookmarkStart w:id="48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8"/>
    <w:bookmarkStart w:id="49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49"/>
    <w:bookmarkStart w:id="50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50"/>
    <w:bookmarkStart w:id="51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51"/>
    <w:bookmarkStart w:id="52" w:name="cultural-competencies"/>
    <w:p>
      <w:pPr>
        <w:pStyle w:val="Heading2"/>
      </w:pPr>
      <w:r>
        <w:t xml:space="preserve">Cultural Competencies</w:t>
      </w:r>
    </w:p>
    <w:p>
      <w:pPr>
        <w:pStyle w:val="FirstParagraph"/>
      </w:pPr>
      <w:r>
        <w:t xml:space="preserve">Trained in: Transgender Health, Safe Zone (LGBTQ+), Cross-Cultural Communication, Microaggression Awareness, Community Action Poverty Simulation, Psychiatric Disability Empathy, People with Disabilities as Teachers (PDAT) — Geisinger Commonwealth School of Medicine, 2017</w:t>
      </w:r>
    </w:p>
    <w:bookmarkEnd w:id="52"/>
    <w:bookmarkStart w:id="53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38"/>
        </w:numPr>
      </w:pPr>
      <w:r>
        <w:t xml:space="preserve">Photography, Programming (R, Python), Fantasy Sports, Fitness (hiking, cycling, running)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/presentations/2021-sages-poster.pdf" TargetMode="External" /><Relationship Type="http://schemas.openxmlformats.org/officeDocument/2006/relationships/hyperlink" Id="rId44" Target="./presentations/2025-ilt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/presentations/2021-sages-poster.pdf" TargetMode="External" /><Relationship Type="http://schemas.openxmlformats.org/officeDocument/2006/relationships/hyperlink" Id="rId44" Target="./presentations/2025-ilt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2026-02-02T12:22:56Z</dcterms:created>
  <dcterms:modified xsi:type="dcterms:W3CDTF">2026-02-02T12:22:56Z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