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 Temporal Fusion Transformer (TFT) Approach to Sector Rotation</w:t>
      </w:r>
    </w:p>
    <w:p>
      <w:pPr>
        <w:pStyle w:val="Heading1"/>
      </w:pPr>
      <w:r>
        <w:t>Abstract</w:t>
      </w:r>
    </w:p>
    <w:p>
      <w:r>
        <w:t>This paper presents a robust framework for weekly sector rotation using a Temporal Fusion Transformer (TFT). Unlike standard forecasting models that predict absolute price, this architecture is optimized to predict relative returns (Sector - SPY) to isolate idiosyncratic sector strength from broad market movements. We implement a walk-forward validation schema and a multi-seed ensembling approach to mitigate the high variance inherent in financial time-series data.</w:t>
      </w:r>
    </w:p>
    <w:p>
      <w:pPr>
        <w:pStyle w:val="Heading1"/>
      </w:pPr>
      <w:r>
        <w:t>I. Model Architecture &amp; Feature Engineering</w:t>
      </w:r>
    </w:p>
    <w:p>
      <w:r>
        <w:t>The core engine is a modified TFT designed for interpretability and feature selection. The model architecture is specifically designed to handle the non-stationary nature of financial markets by incorporating several key components:</w:t>
      </w:r>
    </w:p>
    <w:p>
      <w:pPr>
        <w:pStyle w:val="ListBullet"/>
      </w:pPr>
      <w:r>
        <w:rPr>
          <w:b/>
        </w:rPr>
        <w:t xml:space="preserve">Variable Selection Network (VSN): </w:t>
      </w:r>
      <w:r>
        <w:t>Learns which features—such as 4-week RSI, realized volatility, or relative volume—carry the most predictive weight for specific sectors at any given timestep. This allows the model to dynamically ignore noisy signals.</w:t>
      </w:r>
    </w:p>
    <w:p>
      <w:pPr>
        <w:pStyle w:val="ListBullet"/>
      </w:pPr>
      <w:r>
        <w:rPr>
          <w:b/>
        </w:rPr>
        <w:t xml:space="preserve">Encoder-Decoder Temporal Logic: </w:t>
      </w:r>
      <w:r>
        <w:t>Employs an LSTM encoder to capture sequential momentum and a self-attention mechanism to identify critical historical weeks within a 12-week lookback period.</w:t>
      </w:r>
    </w:p>
    <w:p>
      <w:pPr>
        <w:pStyle w:val="ListBullet"/>
      </w:pPr>
      <w:r>
        <w:rPr>
          <w:b/>
        </w:rPr>
        <w:t xml:space="preserve">Output Head: </w:t>
      </w:r>
      <w:r>
        <w:t>Instead of a single regression point, the model employs per-sector output projections to generate a full cross-sectional ranking of the 11 S&amp;P 500 sectors.</w:t>
      </w:r>
    </w:p>
    <w:p>
      <w:pPr>
        <w:pStyle w:val="Heading1"/>
      </w:pPr>
      <w:r>
        <w:t>II. Objective Function: The Ranking Advantage</w:t>
      </w:r>
    </w:p>
    <w:p>
      <w:r>
        <w:t>A key differentiator of this study is the optimization strategy. While the model is trained on Mean Squared Error (MSE), the Optuna-based hyperparameter tuning is driven by Rank Correlation.</w:t>
      </w:r>
    </w:p>
    <w:p>
      <w:r>
        <w:t>In a sector rotation strategy, the absolute predicted return is less critical than the accuracy of the ranking. By maximizing the correlation between predicted and actual sector ranks, the model is incentivized to correctly identify the leaders and laggards, which is the mechanical requirement for a long/short strategy.</w:t>
      </w:r>
    </w:p>
    <w:p>
      <w:pPr>
        <w:pStyle w:val="Heading1"/>
      </w:pPr>
      <w:r>
        <w:t>III. Strategy Execution &amp; Walk-Forward Simulation</w:t>
      </w:r>
    </w:p>
    <w:p>
      <w:r>
        <w:t>To ensure the findings are not artifacts of overfitting, we utilize a Walk-Forward validation cycle. This simulates a real-world trading environment by ensuring the model never sees data from the future during training.</w:t>
      </w:r>
    </w:p>
    <w:p>
      <w:pPr>
        <w:pStyle w:val="ListBullet"/>
      </w:pPr>
      <w:r>
        <w:rPr>
          <w:b/>
        </w:rPr>
        <w:t xml:space="preserve">Training Routine: </w:t>
      </w:r>
      <w:r>
        <w:t>The model is trained on an 8-year rolling window (~400 weeks) and validated on a 1-year period, followed by testing on the subsequent 6 months (~26 weeks).</w:t>
      </w:r>
    </w:p>
    <w:p>
      <w:pPr>
        <w:pStyle w:val="ListBullet"/>
      </w:pPr>
      <w:r>
        <w:rPr>
          <w:b/>
        </w:rPr>
        <w:t xml:space="preserve">Market-Neutral Posture: </w:t>
      </w:r>
      <w:r>
        <w:t>The strategy goes long the top 3 predicted outperformers and short the bottom 3 underperformers.</w:t>
      </w:r>
    </w:p>
    <w:p>
      <w:pPr>
        <w:pStyle w:val="ListBullet"/>
      </w:pPr>
      <w:r>
        <w:rPr>
          <w:b/>
        </w:rPr>
        <w:t xml:space="preserve">Ensembling: </w:t>
      </w:r>
      <w:r>
        <w:t>Predictions are averaged across multiple random seeds (e.g., 5 seeds per fold) to stabilize the attention weights.</w:t>
      </w:r>
    </w:p>
    <w:p>
      <w:pPr>
        <w:pStyle w:val="Heading1"/>
      </w:pPr>
      <w:r>
        <w:t>IV. The Sharpe Ratio: Quantifying Risk-Adjusted Performance</w:t>
      </w:r>
    </w:p>
    <w:p>
      <w:r>
        <w:t>For a market-neutral sector rotation strategy, the Sharpe ratio serves as the primary performance metric. It measures the magnitude of excess returns relative to their volatility, which is the relevant question for a strategy designed to generate steady, uncorrelated alpha rather than to amplify market beta.</w:t>
      </w:r>
    </w:p>
    <w:p>
      <w:pPr>
        <w:pStyle w:val="ListBullet"/>
      </w:pPr>
      <w:r>
        <w:rPr>
          <w:b/>
        </w:rPr>
        <w:t xml:space="preserve">Mathematical Form: </w:t>
      </w:r>
      <w:r>
        <w:t>Sharpe = (mean return − risk-free rate) / standard deviation of returns. For weekly returns, the value is annualized by multiplication by √52, giving comparability with strategies operating at other frequencies.</w:t>
      </w:r>
    </w:p>
    <w:p>
      <w:pPr>
        <w:pStyle w:val="ListBullet"/>
      </w:pPr>
      <w:r>
        <w:rPr>
          <w:b/>
        </w:rPr>
        <w:t xml:space="preserve">Why It Suits This Project: </w:t>
      </w:r>
      <w:r>
        <w:t>Because the long/short construction removes broad-market exposure, the strategy is expected to produce a modest but persistent return stream. The Sharpe ratio rewards exactly this profile—consistency over magnitude—and is the metric institutional allocators expect to see for any market-neutral strategy.</w:t>
      </w:r>
    </w:p>
    <w:p>
      <w:pPr>
        <w:pStyle w:val="ListBullet"/>
      </w:pPr>
      <w:r>
        <w:rPr>
          <w:b/>
        </w:rPr>
        <w:t xml:space="preserve">Interpretation Bands: </w:t>
      </w:r>
      <w:r>
        <w:t>Sharpe below 0.5 is typically considered weak or indistinguishable from noise; 0.5 to 1.0 reflects the historical range of major equity risk factors after costs; 1.0 to 2.0 covers most successful systematic equity strategies; values sustained above 3.0 on meaningful capital are vanishingly rare and warrant skepticism.</w:t>
      </w:r>
    </w:p>
    <w:p>
      <w:pPr>
        <w:pStyle w:val="ListBullet"/>
      </w:pPr>
      <w:r>
        <w:rPr>
          <w:b/>
        </w:rPr>
        <w:t xml:space="preserve">Single-Seed vs. Ensemble Reporting: </w:t>
      </w:r>
      <w:r>
        <w:t>A single-seed walk-forward Sharpe is biased upward as an estimator of expected out-of-sample performance, since selecting the best result among multiple random initializations does not generalize to future runs. The ensemble mean across multiple seeds provides the more honest expected value, while the standard deviation across seeds quantifies the uncertainty around that estimate.</w:t>
      </w:r>
    </w:p>
    <w:p>
      <w:pPr>
        <w:pStyle w:val="ListBullet"/>
      </w:pPr>
      <w:r>
        <w:rPr>
          <w:b/>
        </w:rPr>
        <w:t xml:space="preserve">Limitations: </w:t>
      </w:r>
      <w:r>
        <w:t>The Sharpe ratio assumes returns are approximately normally distributed and penalizes upside volatility identically to downside volatility. The Sortino ratio addresses the latter concern by penalizing only downside variance. Despite these limitations, the Sharpe ratio remains the de facto standard in quantitative finance for risk-adjusted performance evaluation, and is reported alongside cumulative return and maximum drawdown in any rigorous strategy evaluation.</w:t>
      </w:r>
    </w:p>
    <w:p>
      <w:pPr>
        <w:pStyle w:val="Heading1"/>
      </w:pPr>
      <w:r>
        <w:t>V. Real-World Friction &amp; Option Modeling</w:t>
      </w:r>
    </w:p>
    <w:p>
      <w:r>
        <w:t>The strategy execution involves a simulation engine that accounts for variables often ignored in academic backtests, bridging the gap between theoretical alpha and tradable returns.</w:t>
      </w:r>
    </w:p>
    <w:p>
      <w:pPr>
        <w:pStyle w:val="ListBullet"/>
      </w:pPr>
      <w:r>
        <w:rPr>
          <w:b/>
        </w:rPr>
        <w:t xml:space="preserve">Derivative Implementation: </w:t>
      </w:r>
      <w:r>
        <w:t>The model simulates buying $1.00 OTM calls for long picks and OTM puts for shorts, with roughly 30 days to expiration.</w:t>
      </w:r>
    </w:p>
    <w:p>
      <w:pPr>
        <w:pStyle w:val="ListBullet"/>
      </w:pPr>
      <w:r>
        <w:rPr>
          <w:b/>
        </w:rPr>
        <w:t xml:space="preserve">Friction and Decay: </w:t>
      </w:r>
      <w:r>
        <w:t>The simulation includes per-contract commissions and accounts for time decay (Theta) and Bid/Ask spreads.</w:t>
      </w:r>
    </w:p>
    <w:p>
      <w:pPr>
        <w:pStyle w:val="Heading1"/>
      </w:pPr>
      <w:r>
        <w:t>VI. Conclusion</w:t>
      </w:r>
    </w:p>
    <w:p>
      <w:r>
        <w:t>The Temporal Fusion Transformer provides a resilient signal for sector rotation by focusing on cross-sectional ranking and utilizing an interpretable architecture. Future research will focus on incorporating alternative data sets.</w:t>
      </w:r>
    </w:p>
    <w:p>
      <w:r>
        <w:br w:type="page"/>
      </w:r>
    </w:p>
    <w:p>
      <w:pPr>
        <w:pStyle w:val="Heading1"/>
      </w:pPr>
      <w:r>
        <w:t>Appendix: Command-Line Interface and Execution Flags</w:t>
      </w:r>
    </w:p>
    <w:p>
      <w:pPr>
        <w:pStyle w:val="Heading2"/>
      </w:pPr>
      <w:r>
        <w:t>1. Core Pipeline (run.py)</w:t>
      </w:r>
    </w:p>
    <w:p>
      <w:r>
        <w:t>Main entry point to execute the full end-to-end lifecycle.</w:t>
      </w:r>
    </w:p>
    <w:p>
      <w:pPr>
        <w:pStyle w:val="ListBullet"/>
      </w:pPr>
      <w:r>
        <w:rPr>
          <w:b/>
        </w:rPr>
        <w:t xml:space="preserve">--skip-download: </w:t>
      </w:r>
      <w:r>
        <w:t>Bypasses yfinance data retrieval.</w:t>
      </w:r>
    </w:p>
    <w:p>
      <w:pPr>
        <w:pStyle w:val="ListBullet"/>
      </w:pPr>
      <w:r>
        <w:rPr>
          <w:b/>
        </w:rPr>
        <w:t xml:space="preserve">--skip-preprocess: </w:t>
      </w:r>
      <w:r>
        <w:t>Skips feature engineering and loads existing tensors.</w:t>
      </w:r>
    </w:p>
    <w:p>
      <w:pPr>
        <w:pStyle w:val="ListBullet"/>
      </w:pPr>
      <w:r>
        <w:rPr>
          <w:b/>
        </w:rPr>
        <w:t xml:space="preserve">--epochs [INT]: </w:t>
      </w:r>
      <w:r>
        <w:t>Overrides default training duration.</w:t>
      </w:r>
    </w:p>
    <w:p>
      <w:pPr>
        <w:pStyle w:val="ListBullet"/>
      </w:pPr>
      <w:r>
        <w:rPr>
          <w:b/>
        </w:rPr>
        <w:t xml:space="preserve">--device [STR]: </w:t>
      </w:r>
      <w:r>
        <w:t>Forces execution on a specific device (cpu, cuda, mps).</w:t>
      </w:r>
    </w:p>
    <w:p>
      <w:pPr>
        <w:pStyle w:val="ListBullet"/>
      </w:pPr>
      <w:r>
        <w:rPr>
          <w:b/>
        </w:rPr>
        <w:t xml:space="preserve">--tune: </w:t>
      </w:r>
      <w:r>
        <w:t>Enables Optuna hyperparameter search prior to final training.</w:t>
      </w:r>
    </w:p>
    <w:p>
      <w:pPr>
        <w:pStyle w:val="Heading2"/>
      </w:pPr>
      <w:r>
        <w:t>2. Backtesting and Validation (walk_forward.py)</w:t>
      </w:r>
    </w:p>
    <w:p>
      <w:pPr>
        <w:pStyle w:val="ListBullet"/>
      </w:pPr>
      <w:r>
        <w:rPr>
          <w:b/>
        </w:rPr>
        <w:t xml:space="preserve">--train-weeks [INT]: </w:t>
      </w:r>
      <w:r>
        <w:t>Weeks in the rolling training window (default 400).</w:t>
      </w:r>
    </w:p>
    <w:p>
      <w:pPr>
        <w:pStyle w:val="ListBullet"/>
      </w:pPr>
      <w:r>
        <w:rPr>
          <w:b/>
        </w:rPr>
        <w:t xml:space="preserve">--val-weeks [INT]: </w:t>
      </w:r>
      <w:r>
        <w:t>Size of the validation window (default 52).</w:t>
      </w:r>
    </w:p>
    <w:p>
      <w:pPr>
        <w:pStyle w:val="ListBullet"/>
      </w:pPr>
      <w:r>
        <w:rPr>
          <w:b/>
        </w:rPr>
        <w:t xml:space="preserve">--test-weeks [INT]: </w:t>
      </w:r>
      <w:r>
        <w:t>Size of the out-of-sample test window (default 26).</w:t>
      </w:r>
    </w:p>
    <w:p>
      <w:pPr>
        <w:pStyle w:val="ListBullet"/>
      </w:pPr>
      <w:r>
        <w:rPr>
          <w:b/>
        </w:rPr>
        <w:t xml:space="preserve">--n-seeds [INT]: </w:t>
      </w:r>
      <w:r>
        <w:t>Model initializations to ensemble per fold.</w:t>
      </w:r>
    </w:p>
    <w:p>
      <w:pPr>
        <w:pStyle w:val="Heading2"/>
      </w:pPr>
      <w:r>
        <w:t>3. Strategy Simulation (simulation.py)</w:t>
      </w:r>
    </w:p>
    <w:p>
      <w:r>
        <w:t>Command: setup</w:t>
      </w:r>
    </w:p>
    <w:p>
      <w:pPr>
        <w:pStyle w:val="ListBullet"/>
      </w:pPr>
      <w:r>
        <w:rPr>
          <w:b/>
        </w:rPr>
        <w:t xml:space="preserve">--capital [FLOAT]: </w:t>
      </w:r>
      <w:r>
        <w:t>Starting cash balance.</w:t>
      </w:r>
    </w:p>
    <w:p>
      <w:pPr>
        <w:pStyle w:val="ListBullet"/>
      </w:pPr>
      <w:r>
        <w:rPr>
          <w:b/>
        </w:rPr>
        <w:t xml:space="preserve">--otm [FLOAT]: </w:t>
      </w:r>
      <w:r>
        <w:t>Strike distance from current price.</w:t>
      </w:r>
    </w:p>
    <w:p>
      <w:pPr>
        <w:pStyle w:val="ListBullet"/>
      </w:pPr>
      <w:r>
        <w:rPr>
          <w:b/>
        </w:rPr>
        <w:t xml:space="preserve">--commissions [FLOAT]: </w:t>
      </w:r>
      <w:r>
        <w:t>Fee per contract per side.</w:t>
      </w:r>
    </w:p>
    <w:p>
      <w:r>
        <w:t>Command: predict, execute, status, close, week, reset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