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6BD81" w14:textId="21EF2F50" w:rsidR="001D4FAF" w:rsidRDefault="000C6043">
      <w:proofErr w:type="spellStart"/>
      <w:r>
        <w:t>Ibrutinib</w:t>
      </w:r>
      <w:proofErr w:type="spellEnd"/>
      <w:r>
        <w:t xml:space="preserve"> and bleeding REB protocol </w:t>
      </w:r>
    </w:p>
    <w:p w14:paraId="6FF6E6AD" w14:textId="45F89DA3" w:rsidR="000C6043" w:rsidRPr="00F758DE" w:rsidRDefault="000C6043">
      <w:pPr>
        <w:rPr>
          <w:b/>
          <w:bCs/>
        </w:rPr>
      </w:pPr>
      <w:r w:rsidRPr="00F758DE">
        <w:rPr>
          <w:b/>
          <w:bCs/>
        </w:rPr>
        <w:t>Background and rationale</w:t>
      </w:r>
    </w:p>
    <w:p w14:paraId="354AE8D6" w14:textId="77777777" w:rsidR="000C6043" w:rsidRDefault="000C6043" w:rsidP="000C6043">
      <w:proofErr w:type="spellStart"/>
      <w:r>
        <w:t>Ibrutinib</w:t>
      </w:r>
      <w:proofErr w:type="spellEnd"/>
      <w:r>
        <w:t xml:space="preserve"> is an orally active Burton Kinase inhibitor (BTK). BTK has an important role in the downstream B-Cell signalling pathway and contributes to survival and proliferation of normal and malignant </w:t>
      </w:r>
      <w:proofErr w:type="spellStart"/>
      <w:r>
        <w:t>Bcells</w:t>
      </w:r>
      <w:proofErr w:type="spellEnd"/>
      <w:r>
        <w:t xml:space="preserve">. </w:t>
      </w:r>
      <w:proofErr w:type="spellStart"/>
      <w:r>
        <w:t>Ibrutinib</w:t>
      </w:r>
      <w:proofErr w:type="spellEnd"/>
      <w:r>
        <w:t xml:space="preserve"> is an FDA approved medication with significant clinical activity against treatment </w:t>
      </w:r>
      <w:proofErr w:type="spellStart"/>
      <w:r>
        <w:t>Naiive</w:t>
      </w:r>
      <w:proofErr w:type="spellEnd"/>
      <w:r>
        <w:t xml:space="preserve"> and relapsed/refractory CLL and other lymphoproliferative disorders. (Burger JA, NEJM 2015, Byrd JC, NEJM 2013). </w:t>
      </w:r>
    </w:p>
    <w:p w14:paraId="15D33010" w14:textId="77777777" w:rsidR="000C6043" w:rsidRDefault="000C6043" w:rsidP="000C6043"/>
    <w:p w14:paraId="61E792E1" w14:textId="77777777" w:rsidR="000C6043" w:rsidRDefault="000C6043" w:rsidP="000C6043">
      <w:r>
        <w:t xml:space="preserve">Early clinical trials of </w:t>
      </w:r>
      <w:proofErr w:type="spellStart"/>
      <w:r>
        <w:t>Ibrutinib</w:t>
      </w:r>
      <w:proofErr w:type="spellEnd"/>
      <w:r>
        <w:t xml:space="preserve"> in CLL have reported increased incidence of major bleeding including subdural hematoma, gastrointestinal bleeding and hematuria (Byrd JC, NEJM 2013), this has resulted in exclusion of patients on warfarin from subsequent trials.  Increased rate of non-major bleeding has also been reported in several studies, in one study risk of </w:t>
      </w:r>
      <w:proofErr w:type="spellStart"/>
      <w:r>
        <w:t>petechia</w:t>
      </w:r>
      <w:proofErr w:type="spellEnd"/>
      <w:r>
        <w:t xml:space="preserve"> and bruising was 44% in </w:t>
      </w:r>
      <w:proofErr w:type="spellStart"/>
      <w:r>
        <w:t>ibrutinib</w:t>
      </w:r>
      <w:proofErr w:type="spellEnd"/>
      <w:r>
        <w:t xml:space="preserve"> arm compared to 12% in </w:t>
      </w:r>
      <w:proofErr w:type="spellStart"/>
      <w:r>
        <w:t>ofatumumab</w:t>
      </w:r>
      <w:proofErr w:type="spellEnd"/>
      <w:r>
        <w:t xml:space="preserve"> arm (Byrd JC, NEJM 2014). A three year follow up of single agent </w:t>
      </w:r>
      <w:proofErr w:type="spellStart"/>
      <w:r>
        <w:t>Ibrutinib</w:t>
      </w:r>
      <w:proofErr w:type="spellEnd"/>
      <w:r>
        <w:t xml:space="preserve"> in treatment </w:t>
      </w:r>
      <w:proofErr w:type="spellStart"/>
      <w:r>
        <w:t>Naiive</w:t>
      </w:r>
      <w:proofErr w:type="spellEnd"/>
      <w:r>
        <w:t xml:space="preserve"> or relapsed CLL showed 61% overall rate of bleeding, of these 48% were grade 1 bleeding most commonly </w:t>
      </w:r>
      <w:proofErr w:type="spellStart"/>
      <w:r>
        <w:t>petechia</w:t>
      </w:r>
      <w:proofErr w:type="spellEnd"/>
      <w:r>
        <w:t xml:space="preserve"> and contusion, and major bleeding was reported in 7% of patients (Byrd JC, Blood 2015).  </w:t>
      </w:r>
    </w:p>
    <w:p w14:paraId="0BFA9D01" w14:textId="77777777" w:rsidR="000C6043" w:rsidRDefault="000C6043" w:rsidP="000C6043">
      <w:r>
        <w:t xml:space="preserve">It is stablished that BTK has a role in collagen and von </w:t>
      </w:r>
      <w:proofErr w:type="spellStart"/>
      <w:r>
        <w:t>willebrand</w:t>
      </w:r>
      <w:proofErr w:type="spellEnd"/>
      <w:r>
        <w:t xml:space="preserve"> factor- dependent platelet functions through its involvement in GP1b and GPVI downstream signaling pathways, respectively. (</w:t>
      </w:r>
      <w:proofErr w:type="spellStart"/>
      <w:r>
        <w:t>Queck</w:t>
      </w:r>
      <w:proofErr w:type="spellEnd"/>
      <w:r>
        <w:t xml:space="preserve"> LS, Current biology 1998, Liu J, Blood 2006), however effect of BTK inhibition in increasing bleeding risk is not as clear. Notably patients with congenital </w:t>
      </w:r>
      <w:proofErr w:type="spellStart"/>
      <w:r>
        <w:t>agammaglobulinemia</w:t>
      </w:r>
      <w:proofErr w:type="spellEnd"/>
      <w:r>
        <w:t xml:space="preserve"> associated with absence of functional BTK are not at increased risk of bleeding (Oda A, Blood 2009). This suggests bleeding related to </w:t>
      </w:r>
      <w:proofErr w:type="spellStart"/>
      <w:r>
        <w:t>ibrutinib</w:t>
      </w:r>
      <w:proofErr w:type="spellEnd"/>
      <w:r>
        <w:t xml:space="preserve"> is more complex than BTK inhibition alone. Within a phase 2 trial of single agent </w:t>
      </w:r>
      <w:proofErr w:type="spellStart"/>
      <w:r>
        <w:t>ibrutinib</w:t>
      </w:r>
      <w:proofErr w:type="spellEnd"/>
      <w:r>
        <w:t xml:space="preserve"> in patients with CLL, </w:t>
      </w:r>
      <w:proofErr w:type="spellStart"/>
      <w:r>
        <w:t>Lipsky</w:t>
      </w:r>
      <w:proofErr w:type="spellEnd"/>
      <w:r>
        <w:t xml:space="preserve"> et al showed that platelet aggregation was impaired in all patients with CLL compared to healthy controls, treatment with </w:t>
      </w:r>
      <w:proofErr w:type="spellStart"/>
      <w:r>
        <w:t>ibrutinib</w:t>
      </w:r>
      <w:proofErr w:type="spellEnd"/>
      <w:r>
        <w:t xml:space="preserve"> further decreased platelet aggregation, suggesting that both disease and treatment related platelet dysfunction may contribute to increase bleeding risk (</w:t>
      </w:r>
      <w:proofErr w:type="spellStart"/>
      <w:r>
        <w:t>Lipsky</w:t>
      </w:r>
      <w:proofErr w:type="spellEnd"/>
      <w:r>
        <w:t xml:space="preserve"> AH, </w:t>
      </w:r>
      <w:proofErr w:type="spellStart"/>
      <w:r>
        <w:t>Haematologica</w:t>
      </w:r>
      <w:proofErr w:type="spellEnd"/>
      <w:r>
        <w:t xml:space="preserve"> 2015). </w:t>
      </w:r>
    </w:p>
    <w:p w14:paraId="2865EBFB" w14:textId="77777777" w:rsidR="000C6043" w:rsidRDefault="000C6043" w:rsidP="000C6043"/>
    <w:p w14:paraId="691AD3FF" w14:textId="77777777" w:rsidR="000C6043" w:rsidRDefault="000C6043" w:rsidP="000C6043">
      <w:proofErr w:type="spellStart"/>
      <w:r>
        <w:t>Lipsky</w:t>
      </w:r>
      <w:proofErr w:type="spellEnd"/>
      <w:r>
        <w:t xml:space="preserve"> et al also evaluated platelet function and coagulation factors at baseline and at 4 weeks after initiation of therapy with </w:t>
      </w:r>
      <w:proofErr w:type="spellStart"/>
      <w:r>
        <w:t>ibrutinib</w:t>
      </w:r>
      <w:proofErr w:type="spellEnd"/>
      <w:r>
        <w:t xml:space="preserve">, reduced platelet function measured by increase epinephrine time as well as lower factor 8 and VWF activity at baseline were significantly associated with increased risk of bleeding with </w:t>
      </w:r>
      <w:proofErr w:type="spellStart"/>
      <w:r>
        <w:t>ibrutinib</w:t>
      </w:r>
      <w:proofErr w:type="spellEnd"/>
      <w:r>
        <w:t xml:space="preserve"> (</w:t>
      </w:r>
      <w:proofErr w:type="spellStart"/>
      <w:r>
        <w:t>Lipsky</w:t>
      </w:r>
      <w:proofErr w:type="spellEnd"/>
      <w:r>
        <w:t xml:space="preserve"> AH, </w:t>
      </w:r>
      <w:proofErr w:type="spellStart"/>
      <w:r>
        <w:t>Haematologica</w:t>
      </w:r>
      <w:proofErr w:type="spellEnd"/>
      <w:r>
        <w:t xml:space="preserve"> 2015). Another retrospective study of patients who were treated with </w:t>
      </w:r>
      <w:proofErr w:type="spellStart"/>
      <w:r>
        <w:t>ibrutinib</w:t>
      </w:r>
      <w:proofErr w:type="spellEnd"/>
      <w:r>
        <w:t xml:space="preserve"> showed that patients with anemia, elevated INR, and patients requiring antiplatelet and/or anticoagulation therapy had significantly increased rates of major bleeding while on </w:t>
      </w:r>
      <w:proofErr w:type="spellStart"/>
      <w:r>
        <w:t>ibrutinib</w:t>
      </w:r>
      <w:proofErr w:type="spellEnd"/>
      <w:r>
        <w:t xml:space="preserve"> (Mock J, Clinical lymphoma, myeloma and leukemia 2018).</w:t>
      </w:r>
    </w:p>
    <w:p w14:paraId="4543D958" w14:textId="77777777" w:rsidR="000C6043" w:rsidRDefault="000C6043" w:rsidP="000C6043"/>
    <w:p w14:paraId="56F5DA89" w14:textId="77777777" w:rsidR="000C6043" w:rsidRDefault="000C6043" w:rsidP="000C6043">
      <w:r>
        <w:t xml:space="preserve">Considering the proposed mechanism of bleeding related to </w:t>
      </w:r>
      <w:proofErr w:type="spellStart"/>
      <w:r>
        <w:t>ibrutinib</w:t>
      </w:r>
      <w:proofErr w:type="spellEnd"/>
      <w:r>
        <w:t>, significant thrombocytopenia is another clinical factor that its role in increased risk of bleeding is debatable. However previous studies have not shown a significant association between increased bleeding risk and PLT count (</w:t>
      </w:r>
      <w:proofErr w:type="spellStart"/>
      <w:r>
        <w:t>Lipsky</w:t>
      </w:r>
      <w:proofErr w:type="spellEnd"/>
      <w:r>
        <w:t xml:space="preserve"> AH, </w:t>
      </w:r>
      <w:proofErr w:type="spellStart"/>
      <w:r>
        <w:t>Haematologica</w:t>
      </w:r>
      <w:proofErr w:type="spellEnd"/>
      <w:r>
        <w:t xml:space="preserve"> 2015, Mock J, Clinical lymphoma, myeloma and leukemia 2018). This might be related to </w:t>
      </w:r>
      <w:r>
        <w:lastRenderedPageBreak/>
        <w:t xml:space="preserve">small number of patients enrolled in these studies to observe such an effect. This study is designed to specifically look at association between thrombocytopenia and risk of bleeding in patients being treated with </w:t>
      </w:r>
      <w:proofErr w:type="spellStart"/>
      <w:r>
        <w:t>ibrutinib</w:t>
      </w:r>
      <w:proofErr w:type="spellEnd"/>
      <w:r>
        <w:t xml:space="preserve">. </w:t>
      </w:r>
    </w:p>
    <w:p w14:paraId="6D10089F" w14:textId="3973F758" w:rsidR="00F61476" w:rsidRPr="00914598" w:rsidRDefault="000C6043" w:rsidP="00914598">
      <w:pPr>
        <w:rPr>
          <w:b/>
          <w:bCs/>
        </w:rPr>
      </w:pPr>
      <w:r w:rsidRPr="000C6043">
        <w:rPr>
          <w:b/>
          <w:bCs/>
        </w:rPr>
        <w:t>Objectives:</w:t>
      </w:r>
    </w:p>
    <w:p w14:paraId="71DBB182" w14:textId="72FB6D23" w:rsidR="00F61476" w:rsidRPr="00EC2A9D" w:rsidRDefault="00F61476" w:rsidP="00F61476">
      <w:r w:rsidRPr="00914598">
        <w:rPr>
          <w:i/>
          <w:iCs/>
        </w:rPr>
        <w:t>Primary objective</w:t>
      </w:r>
      <w:r>
        <w:t xml:space="preserve">: the primary objective of this study is </w:t>
      </w:r>
      <w:r w:rsidRPr="00EC2A9D">
        <w:t xml:space="preserve">to investigate the risk of </w:t>
      </w:r>
      <w:r w:rsidRPr="00F61476">
        <w:t>major bleeding</w:t>
      </w:r>
      <w:r w:rsidRPr="00EC2A9D">
        <w:t xml:space="preserve"> associated with </w:t>
      </w:r>
      <w:r w:rsidRPr="00F61476">
        <w:t>thrombocytopenia</w:t>
      </w:r>
      <w:r w:rsidRPr="00EC2A9D">
        <w:t xml:space="preserve"> in patients on </w:t>
      </w:r>
      <w:proofErr w:type="spellStart"/>
      <w:r w:rsidRPr="00EC2A9D">
        <w:t>ibrutinib</w:t>
      </w:r>
      <w:proofErr w:type="spellEnd"/>
      <w:r w:rsidRPr="00EC2A9D">
        <w:t xml:space="preserve"> for treatment of CL</w:t>
      </w:r>
      <w:r>
        <w:t xml:space="preserve">L. </w:t>
      </w:r>
      <w:r w:rsidR="00914598">
        <w:t xml:space="preserve">We will be </w:t>
      </w:r>
      <w:r>
        <w:t xml:space="preserve">comparing rate of </w:t>
      </w:r>
      <w:r w:rsidR="00914598">
        <w:t xml:space="preserve">major </w:t>
      </w:r>
      <w:r>
        <w:t xml:space="preserve">bleeding in patients who have platelet counts 50 or less with patients who have platelet count more than 50. </w:t>
      </w:r>
    </w:p>
    <w:p w14:paraId="1435CE20" w14:textId="77777777" w:rsidR="00F61476" w:rsidRDefault="00F61476" w:rsidP="00F61476">
      <w:pPr>
        <w:pStyle w:val="ListParagraph"/>
      </w:pPr>
    </w:p>
    <w:p w14:paraId="6F316BE0" w14:textId="77777777" w:rsidR="00F61476" w:rsidRPr="00914598" w:rsidRDefault="00F61476" w:rsidP="00914598">
      <w:pPr>
        <w:rPr>
          <w:i/>
          <w:iCs/>
        </w:rPr>
      </w:pPr>
      <w:r w:rsidRPr="00914598">
        <w:rPr>
          <w:i/>
          <w:iCs/>
        </w:rPr>
        <w:t xml:space="preserve">Secondary objectives: </w:t>
      </w:r>
    </w:p>
    <w:p w14:paraId="560470CD" w14:textId="6ADA3313" w:rsidR="00F61476" w:rsidRDefault="00914598" w:rsidP="00914598">
      <w:proofErr w:type="gramStart"/>
      <w:r>
        <w:t>1.</w:t>
      </w:r>
      <w:r w:rsidR="00F61476">
        <w:t>To</w:t>
      </w:r>
      <w:proofErr w:type="gramEnd"/>
      <w:r w:rsidR="00F61476">
        <w:t xml:space="preserve"> investigate the risk of </w:t>
      </w:r>
      <w:r w:rsidR="00F61476" w:rsidRPr="00914598">
        <w:t>non-major bleeding</w:t>
      </w:r>
      <w:r w:rsidR="00F61476">
        <w:t xml:space="preserve"> associated with significant thrombocytopenia in patients on </w:t>
      </w:r>
      <w:proofErr w:type="spellStart"/>
      <w:r w:rsidR="00F61476">
        <w:t>ibrutinib</w:t>
      </w:r>
      <w:proofErr w:type="spellEnd"/>
      <w:r w:rsidR="00F61476">
        <w:t xml:space="preserve"> for treatment of CLL. </w:t>
      </w:r>
    </w:p>
    <w:p w14:paraId="03684F34" w14:textId="7E45F4B3" w:rsidR="00F61476" w:rsidRDefault="00914598" w:rsidP="00914598">
      <w:proofErr w:type="gramStart"/>
      <w:r>
        <w:t>2.</w:t>
      </w:r>
      <w:r w:rsidR="00F61476">
        <w:t>To</w:t>
      </w:r>
      <w:proofErr w:type="gramEnd"/>
      <w:r w:rsidR="00F61476">
        <w:t xml:space="preserve"> investigate the risk of bleeding associated with anticoagulation in patients on </w:t>
      </w:r>
      <w:proofErr w:type="spellStart"/>
      <w:r w:rsidR="00F61476">
        <w:t>ibrutinib</w:t>
      </w:r>
      <w:proofErr w:type="spellEnd"/>
      <w:r w:rsidR="00F61476">
        <w:t xml:space="preserve">. </w:t>
      </w:r>
    </w:p>
    <w:p w14:paraId="53B3327D" w14:textId="468FA428" w:rsidR="00F61476" w:rsidRDefault="00914598" w:rsidP="00914598">
      <w:proofErr w:type="gramStart"/>
      <w:r>
        <w:t>3.</w:t>
      </w:r>
      <w:r w:rsidR="00F61476">
        <w:t>To</w:t>
      </w:r>
      <w:proofErr w:type="gramEnd"/>
      <w:r w:rsidR="00F61476">
        <w:t xml:space="preserve"> investigate the risk of bleeding associated with </w:t>
      </w:r>
      <w:proofErr w:type="spellStart"/>
      <w:r w:rsidR="00F61476">
        <w:t>antiplatelet</w:t>
      </w:r>
      <w:r>
        <w:t>s</w:t>
      </w:r>
      <w:proofErr w:type="spellEnd"/>
      <w:r>
        <w:t xml:space="preserve"> </w:t>
      </w:r>
      <w:r w:rsidR="00F61476">
        <w:t xml:space="preserve">in patients on </w:t>
      </w:r>
      <w:proofErr w:type="spellStart"/>
      <w:r w:rsidR="00F61476">
        <w:t>ibrutinib</w:t>
      </w:r>
      <w:proofErr w:type="spellEnd"/>
      <w:r w:rsidR="00F61476">
        <w:t>.</w:t>
      </w:r>
    </w:p>
    <w:p w14:paraId="1CA4D2E2" w14:textId="2ADF6ABA" w:rsidR="00F61476" w:rsidRDefault="00914598" w:rsidP="00914598">
      <w:proofErr w:type="gramStart"/>
      <w:r>
        <w:t>4.</w:t>
      </w:r>
      <w:r w:rsidR="00F61476">
        <w:t>To</w:t>
      </w:r>
      <w:proofErr w:type="gramEnd"/>
      <w:r w:rsidR="00F61476">
        <w:t xml:space="preserve"> investigate the risk of bleeding associated with invasive procedures in patients on </w:t>
      </w:r>
      <w:proofErr w:type="spellStart"/>
      <w:r w:rsidR="00F61476">
        <w:t>ibrutinib</w:t>
      </w:r>
      <w:proofErr w:type="spellEnd"/>
      <w:r w:rsidR="00F61476">
        <w:t xml:space="preserve">. </w:t>
      </w:r>
    </w:p>
    <w:p w14:paraId="5F9F004F" w14:textId="77777777" w:rsidR="00F61476" w:rsidRDefault="00F61476" w:rsidP="002C12EA"/>
    <w:p w14:paraId="1959396F" w14:textId="1BFEB2DF" w:rsidR="00F758DE" w:rsidRDefault="00B17EC8" w:rsidP="00F758DE">
      <w:pPr>
        <w:rPr>
          <w:b/>
          <w:bCs/>
        </w:rPr>
      </w:pPr>
      <w:r w:rsidRPr="00B17EC8">
        <w:rPr>
          <w:b/>
          <w:bCs/>
        </w:rPr>
        <w:t xml:space="preserve">Study Design </w:t>
      </w:r>
      <w:r>
        <w:rPr>
          <w:b/>
          <w:bCs/>
        </w:rPr>
        <w:t xml:space="preserve">and Methodology </w:t>
      </w:r>
    </w:p>
    <w:p w14:paraId="1520DE85" w14:textId="63726996" w:rsidR="00F758DE" w:rsidRPr="00F758DE" w:rsidRDefault="00F758DE" w:rsidP="00F758DE">
      <w:pPr>
        <w:rPr>
          <w:i/>
          <w:iCs/>
        </w:rPr>
      </w:pPr>
      <w:r w:rsidRPr="00F758DE">
        <w:rPr>
          <w:i/>
          <w:iCs/>
        </w:rPr>
        <w:t xml:space="preserve">Mode of study </w:t>
      </w:r>
    </w:p>
    <w:p w14:paraId="46F3B962" w14:textId="692E6B59" w:rsidR="00B17EC8" w:rsidRDefault="00B17EC8" w:rsidP="00B17EC8">
      <w:r>
        <w:t xml:space="preserve">This is a prospective study of patients 18 years or older with CLL who </w:t>
      </w:r>
      <w:r w:rsidR="00E023C0">
        <w:t xml:space="preserve">are on </w:t>
      </w:r>
      <w:r>
        <w:t xml:space="preserve">treatment with single agent </w:t>
      </w:r>
      <w:proofErr w:type="spellStart"/>
      <w:r>
        <w:t>ibrutinib</w:t>
      </w:r>
      <w:proofErr w:type="spellEnd"/>
      <w:r>
        <w:t xml:space="preserve"> based on </w:t>
      </w:r>
      <w:proofErr w:type="spellStart"/>
      <w:r>
        <w:t>IwCLL</w:t>
      </w:r>
      <w:proofErr w:type="spellEnd"/>
      <w:r>
        <w:t xml:space="preserve"> 2019 criteria, in regional hematology clinics in </w:t>
      </w:r>
      <w:r w:rsidR="00E023C0">
        <w:t xml:space="preserve">a </w:t>
      </w:r>
      <w:r>
        <w:t>tertiary academic centre in London</w:t>
      </w:r>
      <w:r w:rsidR="00914598">
        <w:t xml:space="preserve"> health sciences centre (LHSC), in London, Ontario Canada</w:t>
      </w:r>
      <w:r w:rsidR="004C5E44">
        <w:t xml:space="preserve">. </w:t>
      </w:r>
    </w:p>
    <w:p w14:paraId="18BDA3AF" w14:textId="38B83184" w:rsidR="00F758DE" w:rsidRPr="00F758DE" w:rsidRDefault="00F758DE" w:rsidP="00B17EC8">
      <w:pPr>
        <w:rPr>
          <w:i/>
          <w:iCs/>
        </w:rPr>
      </w:pPr>
      <w:r w:rsidRPr="00F758DE">
        <w:rPr>
          <w:i/>
          <w:iCs/>
        </w:rPr>
        <w:t xml:space="preserve">Methodology </w:t>
      </w:r>
    </w:p>
    <w:p w14:paraId="28A84FD7" w14:textId="187FFCD5" w:rsidR="00B17EC8" w:rsidRPr="00914598" w:rsidRDefault="00B17EC8" w:rsidP="009A53D4">
      <w:r>
        <w:t xml:space="preserve">Patients will be recruited by study co- investigator who will obtain consent from the study participants at the time of recruitment. Patients will </w:t>
      </w:r>
      <w:r w:rsidR="00E023C0">
        <w:t xml:space="preserve">be interviewed at each clinic visit by either the study co-investigator or the staff hematologist for bleeding events based on the ISTH-SCC bleeding assessment tool. All patient will have bloodwork including CBC done prior to their clinic visit. </w:t>
      </w:r>
      <w:r w:rsidR="009A53D4" w:rsidRPr="00914598">
        <w:t xml:space="preserve">Study participants </w:t>
      </w:r>
      <w:r w:rsidR="00E023C0" w:rsidRPr="00914598">
        <w:t>will be recruited during a</w:t>
      </w:r>
      <w:r w:rsidR="00117C87" w:rsidRPr="00914598">
        <w:t xml:space="preserve"> one year period from the </w:t>
      </w:r>
      <w:r w:rsidR="009A53D4" w:rsidRPr="00914598">
        <w:t xml:space="preserve">time of </w:t>
      </w:r>
      <w:r w:rsidR="00117C87" w:rsidRPr="00914598">
        <w:t>study initiation and followed for at least 6 months</w:t>
      </w:r>
      <w:r w:rsidR="009A53D4" w:rsidRPr="00914598">
        <w:t xml:space="preserve"> after that. </w:t>
      </w:r>
    </w:p>
    <w:p w14:paraId="370BA6F2" w14:textId="29BFA1C5" w:rsidR="00B17EC8" w:rsidRDefault="009A53D4" w:rsidP="009A53D4">
      <w:r>
        <w:t xml:space="preserve">Retrospective data will be also collected form the patients on </w:t>
      </w:r>
      <w:proofErr w:type="spellStart"/>
      <w:r>
        <w:t>ibrutinib</w:t>
      </w:r>
      <w:proofErr w:type="spellEnd"/>
      <w:r>
        <w:t xml:space="preserve"> </w:t>
      </w:r>
      <w:r w:rsidR="00B17EC8">
        <w:t>between Jan 1</w:t>
      </w:r>
      <w:proofErr w:type="gramStart"/>
      <w:r w:rsidR="00B17EC8">
        <w:t>,2014</w:t>
      </w:r>
      <w:proofErr w:type="gramEnd"/>
      <w:r w:rsidR="00B17EC8">
        <w:t xml:space="preserve"> to December 31, 2019</w:t>
      </w:r>
      <w:r>
        <w:t xml:space="preserve">. </w:t>
      </w:r>
      <w:r w:rsidR="00B17EC8">
        <w:t xml:space="preserve">Patient’s clinic notes and other health records will be </w:t>
      </w:r>
      <w:r>
        <w:t>reviewed,</w:t>
      </w:r>
      <w:r w:rsidR="00B17EC8">
        <w:t xml:space="preserve"> and all bleeding events reported by the patient or health care professional will be recorded. </w:t>
      </w:r>
      <w:r>
        <w:t xml:space="preserve">Bleeding will be graded based on CTAE criteria in retrospective chart review. </w:t>
      </w:r>
    </w:p>
    <w:p w14:paraId="6DF4EB78" w14:textId="037A8A03" w:rsidR="00B17EC8" w:rsidRDefault="00B17EC8" w:rsidP="00F758DE">
      <w:r>
        <w:t xml:space="preserve">The primary objective is to evaluate the risk of major bleeding associated with significant thrombocytopenia in Patients on </w:t>
      </w:r>
      <w:proofErr w:type="spellStart"/>
      <w:r>
        <w:t>ibrutinib</w:t>
      </w:r>
      <w:proofErr w:type="spellEnd"/>
      <w:r>
        <w:t xml:space="preserve">. </w:t>
      </w:r>
      <w:r w:rsidR="009A53D4">
        <w:t xml:space="preserve">Bleeding events with score 3 or 4 based on ISTH bleeding </w:t>
      </w:r>
      <w:r w:rsidR="009A53D4">
        <w:lastRenderedPageBreak/>
        <w:t xml:space="preserve">assessment tool that occurred with associated platelet count 50 or less will be compared to major bleeding events that occurred with associated platelet count more than 50 for primary analysis. </w:t>
      </w:r>
    </w:p>
    <w:p w14:paraId="67FA51E1" w14:textId="1F740F14" w:rsidR="00B17EC8" w:rsidRDefault="00B17EC8" w:rsidP="00B17EC8">
      <w:r>
        <w:t xml:space="preserve">To capture the patients who are on </w:t>
      </w:r>
      <w:proofErr w:type="spellStart"/>
      <w:r>
        <w:t>ibrutinib</w:t>
      </w:r>
      <w:proofErr w:type="spellEnd"/>
      <w:r>
        <w:t xml:space="preserve"> for treatmen</w:t>
      </w:r>
      <w:r w:rsidR="004C5E44">
        <w:t>t of CLL w</w:t>
      </w:r>
      <w:r>
        <w:t xml:space="preserve">e </w:t>
      </w:r>
      <w:r w:rsidR="004C5E44">
        <w:t xml:space="preserve">will </w:t>
      </w:r>
      <w:r>
        <w:t xml:space="preserve">ask our regional pharmacy for list of patients who filled their prescription in our regional cancer centre pharmacy, we also </w:t>
      </w:r>
      <w:proofErr w:type="gramStart"/>
      <w:r w:rsidR="004C5E44">
        <w:t xml:space="preserve">ask </w:t>
      </w:r>
      <w:r>
        <w:t xml:space="preserve"> hematologists</w:t>
      </w:r>
      <w:proofErr w:type="gramEnd"/>
      <w:r>
        <w:t xml:space="preserve"> who treat CLL </w:t>
      </w:r>
      <w:r w:rsidR="00914598">
        <w:t xml:space="preserve">in LHSC </w:t>
      </w:r>
      <w:r>
        <w:t xml:space="preserve">for list of the patients who are on </w:t>
      </w:r>
      <w:proofErr w:type="spellStart"/>
      <w:r>
        <w:t>ibrutinib</w:t>
      </w:r>
      <w:proofErr w:type="spellEnd"/>
      <w:r>
        <w:t xml:space="preserve"> to capture those patients that fill their prescription in any</w:t>
      </w:r>
      <w:r w:rsidR="004C5E44">
        <w:t xml:space="preserve"> other</w:t>
      </w:r>
      <w:r>
        <w:t xml:space="preserve"> pharmacy within the City of London. </w:t>
      </w:r>
    </w:p>
    <w:p w14:paraId="0924052D" w14:textId="77777777" w:rsidR="00B17EC8" w:rsidRPr="00F758DE" w:rsidRDefault="00B17EC8" w:rsidP="00B17EC8">
      <w:pPr>
        <w:rPr>
          <w:i/>
          <w:iCs/>
        </w:rPr>
      </w:pPr>
      <w:r w:rsidRPr="00F758DE">
        <w:rPr>
          <w:i/>
          <w:iCs/>
        </w:rPr>
        <w:t xml:space="preserve">Patients Selection criteria: </w:t>
      </w:r>
    </w:p>
    <w:p w14:paraId="45E73A0F" w14:textId="767BF5D1" w:rsidR="00B17EC8" w:rsidRDefault="00914598" w:rsidP="00914598">
      <w:proofErr w:type="gramStart"/>
      <w:r>
        <w:t>1.</w:t>
      </w:r>
      <w:r w:rsidR="00B17EC8">
        <w:t>Inclusion</w:t>
      </w:r>
      <w:proofErr w:type="gramEnd"/>
      <w:r w:rsidR="00B17EC8">
        <w:t xml:space="preserve"> criteria: all patients 18 years or older with CLL requiring treatment with single agent </w:t>
      </w:r>
      <w:proofErr w:type="spellStart"/>
      <w:r w:rsidR="00B17EC8">
        <w:t>ibrutinib</w:t>
      </w:r>
      <w:proofErr w:type="spellEnd"/>
      <w:r w:rsidR="00B17EC8">
        <w:t xml:space="preserve"> based on </w:t>
      </w:r>
      <w:proofErr w:type="spellStart"/>
      <w:r w:rsidR="00B17EC8">
        <w:t>IwCLL</w:t>
      </w:r>
      <w:proofErr w:type="spellEnd"/>
      <w:r w:rsidR="00B17EC8">
        <w:t xml:space="preserve"> 2019 criteria. </w:t>
      </w:r>
    </w:p>
    <w:p w14:paraId="52AB1974" w14:textId="35FF6931" w:rsidR="00B17EC8" w:rsidRDefault="00914598" w:rsidP="00914598">
      <w:proofErr w:type="gramStart"/>
      <w:r>
        <w:t>2.</w:t>
      </w:r>
      <w:r w:rsidR="00B17EC8">
        <w:t>Exclusion</w:t>
      </w:r>
      <w:proofErr w:type="gramEnd"/>
      <w:r w:rsidR="00B17EC8">
        <w:t xml:space="preserve"> criteria: Patients will be excluded if they have known bleeding disorder. </w:t>
      </w:r>
    </w:p>
    <w:p w14:paraId="08FC6657" w14:textId="77777777" w:rsidR="00B17EC8" w:rsidRPr="00F758DE" w:rsidRDefault="00B17EC8" w:rsidP="00B17EC8">
      <w:pPr>
        <w:rPr>
          <w:i/>
          <w:iCs/>
        </w:rPr>
      </w:pPr>
      <w:r w:rsidRPr="00F758DE">
        <w:rPr>
          <w:i/>
          <w:iCs/>
        </w:rPr>
        <w:t xml:space="preserve">Definitions: </w:t>
      </w:r>
    </w:p>
    <w:p w14:paraId="55EEB9FF" w14:textId="62DAD690" w:rsidR="00B17EC8" w:rsidRDefault="00914598" w:rsidP="00914598">
      <w:proofErr w:type="gramStart"/>
      <w:r>
        <w:t>1.</w:t>
      </w:r>
      <w:r w:rsidR="00B17EC8">
        <w:t>Significant</w:t>
      </w:r>
      <w:proofErr w:type="gramEnd"/>
      <w:r w:rsidR="00B17EC8">
        <w:t xml:space="preserve"> thrombocytopenia – is defined as platelet count 50 or less at any point during the time patient is on treatment with </w:t>
      </w:r>
      <w:proofErr w:type="spellStart"/>
      <w:r w:rsidR="00B17EC8">
        <w:t>ibrutinib</w:t>
      </w:r>
      <w:proofErr w:type="spellEnd"/>
      <w:r w:rsidR="00B17EC8">
        <w:t xml:space="preserve">. </w:t>
      </w:r>
    </w:p>
    <w:p w14:paraId="426253CA" w14:textId="2883C010" w:rsidR="00B17EC8" w:rsidRDefault="00914598" w:rsidP="00914598">
      <w:proofErr w:type="gramStart"/>
      <w:r>
        <w:t>2.</w:t>
      </w:r>
      <w:r w:rsidR="00B17EC8">
        <w:t>Bleeding</w:t>
      </w:r>
      <w:proofErr w:type="gramEnd"/>
      <w:r w:rsidR="00B17EC8">
        <w:t xml:space="preserve"> severity- is defined based on </w:t>
      </w:r>
      <w:r w:rsidR="004C5E44">
        <w:t>ISTH -SCC bleeding Assessment tool</w:t>
      </w:r>
    </w:p>
    <w:p w14:paraId="5135324A" w14:textId="04C014D3" w:rsidR="00B17EC8" w:rsidRDefault="00914598" w:rsidP="00914598">
      <w:r>
        <w:t xml:space="preserve">- </w:t>
      </w:r>
      <w:r w:rsidR="00B17EC8">
        <w:t>Major bleeding</w:t>
      </w:r>
      <w:r w:rsidR="004C5E44">
        <w:t xml:space="preserve"> is defined as bleeding events with ISTH score 3 or 4 </w:t>
      </w:r>
    </w:p>
    <w:p w14:paraId="00D72CC9" w14:textId="72519480" w:rsidR="00B17EC8" w:rsidRDefault="00914598" w:rsidP="00914598">
      <w:r>
        <w:t xml:space="preserve">- </w:t>
      </w:r>
      <w:r w:rsidR="00B17EC8">
        <w:t>Non-Major bleedin</w:t>
      </w:r>
      <w:r w:rsidR="004C5E44">
        <w:t xml:space="preserve">g is defined as bleeding events with ISTH score 1 or 2 </w:t>
      </w:r>
    </w:p>
    <w:p w14:paraId="59B32A91" w14:textId="4974EF8A" w:rsidR="00914598" w:rsidRDefault="00914598"/>
    <w:p w14:paraId="26166C6F" w14:textId="6B711E74" w:rsidR="00914598" w:rsidRDefault="00914598">
      <w:r>
        <w:t>Abbreviations:</w:t>
      </w:r>
    </w:p>
    <w:p w14:paraId="6DAA2A5F" w14:textId="2943CFE4" w:rsidR="00914598" w:rsidRDefault="00914598">
      <w:r>
        <w:t>CLL: Chronic lymphocytic leukemia</w:t>
      </w:r>
    </w:p>
    <w:p w14:paraId="298B144D" w14:textId="24265E84" w:rsidR="00914598" w:rsidRDefault="00914598">
      <w:r>
        <w:t>ISTH-SCC</w:t>
      </w:r>
      <w:r w:rsidR="00A24636">
        <w:t>: International society of thrombosis and hemostasis- scientific and standardization committee</w:t>
      </w:r>
    </w:p>
    <w:p w14:paraId="4997C1B1" w14:textId="3CD5CC8D" w:rsidR="00A24636" w:rsidRDefault="00A24636">
      <w:proofErr w:type="spellStart"/>
      <w:r>
        <w:t>IwCLL</w:t>
      </w:r>
      <w:proofErr w:type="spellEnd"/>
      <w:r>
        <w:t>: international workshop on chronic lymphocytic leukemia</w:t>
      </w:r>
    </w:p>
    <w:p w14:paraId="5E983AAF" w14:textId="77777777" w:rsidR="00675FFA" w:rsidRDefault="00675FFA">
      <w:bookmarkStart w:id="0" w:name="_GoBack"/>
      <w:bookmarkEnd w:id="0"/>
    </w:p>
    <w:sectPr w:rsidR="00675F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A707E"/>
    <w:multiLevelType w:val="hybridMultilevel"/>
    <w:tmpl w:val="9E50E6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2E00426"/>
    <w:multiLevelType w:val="hybridMultilevel"/>
    <w:tmpl w:val="7096C1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DFD7D07"/>
    <w:multiLevelType w:val="hybridMultilevel"/>
    <w:tmpl w:val="1EA4F1E8"/>
    <w:lvl w:ilvl="0" w:tplc="E176E61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E2B4379"/>
    <w:multiLevelType w:val="hybridMultilevel"/>
    <w:tmpl w:val="7C58CC9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043"/>
    <w:rsid w:val="00000C2E"/>
    <w:rsid w:val="00006F58"/>
    <w:rsid w:val="000121EB"/>
    <w:rsid w:val="00017F3F"/>
    <w:rsid w:val="00020D33"/>
    <w:rsid w:val="00023133"/>
    <w:rsid w:val="00050D0B"/>
    <w:rsid w:val="0007118B"/>
    <w:rsid w:val="00076A36"/>
    <w:rsid w:val="00090F74"/>
    <w:rsid w:val="000C6043"/>
    <w:rsid w:val="000E3667"/>
    <w:rsid w:val="000F6F0A"/>
    <w:rsid w:val="00117C87"/>
    <w:rsid w:val="00141B6A"/>
    <w:rsid w:val="0015776D"/>
    <w:rsid w:val="001932A8"/>
    <w:rsid w:val="001A6604"/>
    <w:rsid w:val="001B0804"/>
    <w:rsid w:val="001C5A32"/>
    <w:rsid w:val="001D4FAF"/>
    <w:rsid w:val="0020763F"/>
    <w:rsid w:val="00224B43"/>
    <w:rsid w:val="00267C62"/>
    <w:rsid w:val="00270012"/>
    <w:rsid w:val="0027007D"/>
    <w:rsid w:val="00276CAC"/>
    <w:rsid w:val="0028337C"/>
    <w:rsid w:val="00290D02"/>
    <w:rsid w:val="002A7407"/>
    <w:rsid w:val="002B0CEF"/>
    <w:rsid w:val="002B12F6"/>
    <w:rsid w:val="002C12EA"/>
    <w:rsid w:val="003153BA"/>
    <w:rsid w:val="0033132B"/>
    <w:rsid w:val="003813A7"/>
    <w:rsid w:val="00384D20"/>
    <w:rsid w:val="00396C40"/>
    <w:rsid w:val="003C3F42"/>
    <w:rsid w:val="00404FFF"/>
    <w:rsid w:val="00416637"/>
    <w:rsid w:val="004307F4"/>
    <w:rsid w:val="00456DFD"/>
    <w:rsid w:val="004C041E"/>
    <w:rsid w:val="004C5E44"/>
    <w:rsid w:val="004E4C56"/>
    <w:rsid w:val="004F29F7"/>
    <w:rsid w:val="005025A5"/>
    <w:rsid w:val="0050561A"/>
    <w:rsid w:val="00505AB9"/>
    <w:rsid w:val="00522679"/>
    <w:rsid w:val="00574B25"/>
    <w:rsid w:val="00575528"/>
    <w:rsid w:val="005C1174"/>
    <w:rsid w:val="005C75F1"/>
    <w:rsid w:val="005E1288"/>
    <w:rsid w:val="00604E55"/>
    <w:rsid w:val="00645B37"/>
    <w:rsid w:val="00645D21"/>
    <w:rsid w:val="006663B5"/>
    <w:rsid w:val="00675FFA"/>
    <w:rsid w:val="00687188"/>
    <w:rsid w:val="006A58C1"/>
    <w:rsid w:val="006A6D21"/>
    <w:rsid w:val="006B16E4"/>
    <w:rsid w:val="006B50C7"/>
    <w:rsid w:val="006D7775"/>
    <w:rsid w:val="006F2683"/>
    <w:rsid w:val="00707027"/>
    <w:rsid w:val="007147DC"/>
    <w:rsid w:val="00755EFE"/>
    <w:rsid w:val="00776B6A"/>
    <w:rsid w:val="00797E42"/>
    <w:rsid w:val="007A400E"/>
    <w:rsid w:val="007B5FAE"/>
    <w:rsid w:val="007D2F36"/>
    <w:rsid w:val="007D625A"/>
    <w:rsid w:val="007D75E9"/>
    <w:rsid w:val="00824874"/>
    <w:rsid w:val="0085199D"/>
    <w:rsid w:val="008520BA"/>
    <w:rsid w:val="0089420E"/>
    <w:rsid w:val="00896185"/>
    <w:rsid w:val="008A269B"/>
    <w:rsid w:val="0090196B"/>
    <w:rsid w:val="00901E44"/>
    <w:rsid w:val="00914598"/>
    <w:rsid w:val="00915D0A"/>
    <w:rsid w:val="00920B44"/>
    <w:rsid w:val="00945DA8"/>
    <w:rsid w:val="009904A4"/>
    <w:rsid w:val="009A2155"/>
    <w:rsid w:val="009A4687"/>
    <w:rsid w:val="009A53D4"/>
    <w:rsid w:val="009C525D"/>
    <w:rsid w:val="009D3A3F"/>
    <w:rsid w:val="009D613D"/>
    <w:rsid w:val="009D68CE"/>
    <w:rsid w:val="009E6E71"/>
    <w:rsid w:val="00A10F39"/>
    <w:rsid w:val="00A24636"/>
    <w:rsid w:val="00A406D7"/>
    <w:rsid w:val="00A456B7"/>
    <w:rsid w:val="00A46029"/>
    <w:rsid w:val="00A502B0"/>
    <w:rsid w:val="00A56556"/>
    <w:rsid w:val="00A90EBA"/>
    <w:rsid w:val="00AF115A"/>
    <w:rsid w:val="00B1116C"/>
    <w:rsid w:val="00B14280"/>
    <w:rsid w:val="00B1610C"/>
    <w:rsid w:val="00B170D0"/>
    <w:rsid w:val="00B17EC8"/>
    <w:rsid w:val="00B2334D"/>
    <w:rsid w:val="00B235A3"/>
    <w:rsid w:val="00B25EFD"/>
    <w:rsid w:val="00B33839"/>
    <w:rsid w:val="00B354D7"/>
    <w:rsid w:val="00B564F5"/>
    <w:rsid w:val="00B814E3"/>
    <w:rsid w:val="00B92380"/>
    <w:rsid w:val="00BA0D14"/>
    <w:rsid w:val="00BB7CAC"/>
    <w:rsid w:val="00BC3742"/>
    <w:rsid w:val="00BD4CC6"/>
    <w:rsid w:val="00BD5B7A"/>
    <w:rsid w:val="00C32C5A"/>
    <w:rsid w:val="00C3395E"/>
    <w:rsid w:val="00C42378"/>
    <w:rsid w:val="00C645E2"/>
    <w:rsid w:val="00C93126"/>
    <w:rsid w:val="00C94136"/>
    <w:rsid w:val="00CD593F"/>
    <w:rsid w:val="00CF40A2"/>
    <w:rsid w:val="00CF58E2"/>
    <w:rsid w:val="00CF71D1"/>
    <w:rsid w:val="00D16CD5"/>
    <w:rsid w:val="00D16F1E"/>
    <w:rsid w:val="00D26375"/>
    <w:rsid w:val="00D331A7"/>
    <w:rsid w:val="00D37BD4"/>
    <w:rsid w:val="00D40C5A"/>
    <w:rsid w:val="00D94A82"/>
    <w:rsid w:val="00DA1D10"/>
    <w:rsid w:val="00DB617D"/>
    <w:rsid w:val="00DD5C9A"/>
    <w:rsid w:val="00DD7AA5"/>
    <w:rsid w:val="00E023C0"/>
    <w:rsid w:val="00E05A33"/>
    <w:rsid w:val="00E167E6"/>
    <w:rsid w:val="00E16BC9"/>
    <w:rsid w:val="00E248A3"/>
    <w:rsid w:val="00E30CB5"/>
    <w:rsid w:val="00E46505"/>
    <w:rsid w:val="00E506B1"/>
    <w:rsid w:val="00E607DD"/>
    <w:rsid w:val="00E61F1E"/>
    <w:rsid w:val="00EF3FB6"/>
    <w:rsid w:val="00F0312B"/>
    <w:rsid w:val="00F147AA"/>
    <w:rsid w:val="00F32E1D"/>
    <w:rsid w:val="00F47666"/>
    <w:rsid w:val="00F602BF"/>
    <w:rsid w:val="00F61476"/>
    <w:rsid w:val="00F67D38"/>
    <w:rsid w:val="00F745BD"/>
    <w:rsid w:val="00F74D1F"/>
    <w:rsid w:val="00F75175"/>
    <w:rsid w:val="00F758DE"/>
    <w:rsid w:val="00F968DB"/>
    <w:rsid w:val="00F9773E"/>
    <w:rsid w:val="00FA3225"/>
    <w:rsid w:val="00FD10D9"/>
    <w:rsid w:val="00FD7248"/>
    <w:rsid w:val="00FF232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E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Dehghani</dc:creator>
  <cp:keywords/>
  <dc:description/>
  <cp:lastModifiedBy>minad</cp:lastModifiedBy>
  <cp:revision>13</cp:revision>
  <dcterms:created xsi:type="dcterms:W3CDTF">2020-03-24T02:05:00Z</dcterms:created>
  <dcterms:modified xsi:type="dcterms:W3CDTF">2021-04-27T14:36:00Z</dcterms:modified>
</cp:coreProperties>
</file>