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5738E" w14:textId="77777777" w:rsidR="00CA17C6" w:rsidRDefault="00CA17C6" w:rsidP="00FF462D"/>
    <w:p w14:paraId="74FF0C03" w14:textId="456281CB" w:rsidR="00786EED" w:rsidRPr="006E5B65" w:rsidRDefault="00F43496" w:rsidP="00EE1400">
      <w:pPr>
        <w:spacing w:before="100" w:beforeAutospacing="1" w:after="100" w:afterAutospacing="1" w:line="240" w:lineRule="auto"/>
        <w:rPr>
          <w:rFonts w:cstheme="minorHAnsi"/>
          <w:b/>
          <w:bCs/>
          <w:u w:val="single"/>
        </w:rPr>
      </w:pPr>
      <w:r w:rsidRPr="006E5B65">
        <w:rPr>
          <w:rFonts w:cstheme="minorHAnsi"/>
          <w:b/>
          <w:bCs/>
          <w:color w:val="000000"/>
          <w:shd w:val="clear" w:color="auto" w:fill="FFFFFF"/>
        </w:rPr>
        <w:t xml:space="preserve">Impact </w:t>
      </w:r>
      <w:r w:rsidR="00786EED" w:rsidRPr="006E5B65">
        <w:rPr>
          <w:rFonts w:cstheme="minorHAnsi"/>
          <w:b/>
          <w:bCs/>
          <w:color w:val="000000"/>
          <w:shd w:val="clear" w:color="auto" w:fill="FFFFFF"/>
        </w:rPr>
        <w:t xml:space="preserve">of </w:t>
      </w:r>
      <w:r w:rsidRPr="006E5B65">
        <w:rPr>
          <w:rFonts w:cstheme="minorHAnsi"/>
          <w:b/>
          <w:bCs/>
          <w:color w:val="000000"/>
          <w:shd w:val="clear" w:color="auto" w:fill="FFFFFF"/>
        </w:rPr>
        <w:t xml:space="preserve">varying </w:t>
      </w:r>
      <w:r w:rsidR="00786EED" w:rsidRPr="006E5B65">
        <w:rPr>
          <w:rFonts w:cstheme="minorHAnsi"/>
          <w:b/>
          <w:bCs/>
          <w:color w:val="000000"/>
          <w:shd w:val="clear" w:color="auto" w:fill="FFFFFF"/>
        </w:rPr>
        <w:t xml:space="preserve">maintenance </w:t>
      </w:r>
      <w:r w:rsidRPr="006E5B65">
        <w:rPr>
          <w:rFonts w:cstheme="minorHAnsi"/>
          <w:b/>
          <w:bCs/>
          <w:color w:val="000000"/>
          <w:shd w:val="clear" w:color="auto" w:fill="FFFFFF"/>
        </w:rPr>
        <w:t xml:space="preserve">strategies </w:t>
      </w:r>
      <w:r w:rsidR="00786EED" w:rsidRPr="006E5B65">
        <w:rPr>
          <w:rFonts w:cstheme="minorHAnsi"/>
          <w:b/>
          <w:bCs/>
          <w:color w:val="000000"/>
          <w:shd w:val="clear" w:color="auto" w:fill="FFFFFF"/>
        </w:rPr>
        <w:t>post</w:t>
      </w:r>
      <w:r w:rsidRPr="006E5B65">
        <w:rPr>
          <w:rFonts w:cstheme="minorHAnsi"/>
          <w:b/>
          <w:bCs/>
          <w:color w:val="000000"/>
          <w:shd w:val="clear" w:color="auto" w:fill="FFFFFF"/>
        </w:rPr>
        <w:t>-</w:t>
      </w:r>
      <w:r w:rsidR="00786EED" w:rsidRPr="006E5B65">
        <w:rPr>
          <w:rFonts w:cstheme="minorHAnsi"/>
          <w:b/>
          <w:bCs/>
          <w:color w:val="000000"/>
          <w:shd w:val="clear" w:color="auto" w:fill="FFFFFF"/>
        </w:rPr>
        <w:t xml:space="preserve"> Autologous stem cell transplantation in </w:t>
      </w:r>
      <w:r w:rsidRPr="006E5B65">
        <w:rPr>
          <w:rFonts w:cstheme="minorHAnsi"/>
          <w:b/>
          <w:bCs/>
          <w:color w:val="000000"/>
          <w:shd w:val="clear" w:color="auto" w:fill="FFFFFF"/>
        </w:rPr>
        <w:t xml:space="preserve">standard and </w:t>
      </w:r>
      <w:r w:rsidR="00786EED" w:rsidRPr="006E5B65">
        <w:rPr>
          <w:rFonts w:cstheme="minorHAnsi"/>
          <w:b/>
          <w:bCs/>
          <w:color w:val="000000"/>
          <w:shd w:val="clear" w:color="auto" w:fill="FFFFFF"/>
        </w:rPr>
        <w:t>high-risk multiple myeloma patients</w:t>
      </w:r>
      <w:r w:rsidRPr="006E5B65">
        <w:rPr>
          <w:rFonts w:cstheme="minorHAnsi"/>
          <w:b/>
          <w:bCs/>
          <w:color w:val="000000"/>
          <w:shd w:val="clear" w:color="auto" w:fill="FFFFFF"/>
        </w:rPr>
        <w:t>:</w:t>
      </w:r>
      <w:r w:rsidR="00786EED" w:rsidRPr="006E5B65">
        <w:rPr>
          <w:rFonts w:cstheme="minorHAnsi"/>
          <w:b/>
          <w:bCs/>
          <w:color w:val="000000"/>
          <w:shd w:val="clear" w:color="auto" w:fill="FFFFFF"/>
        </w:rPr>
        <w:t xml:space="preserve"> a single-cent</w:t>
      </w:r>
      <w:r w:rsidRPr="006E5B65">
        <w:rPr>
          <w:rFonts w:cstheme="minorHAnsi"/>
          <w:b/>
          <w:bCs/>
          <w:color w:val="000000"/>
          <w:shd w:val="clear" w:color="auto" w:fill="FFFFFF"/>
        </w:rPr>
        <w:t>re</w:t>
      </w:r>
      <w:r w:rsidR="00786EED" w:rsidRPr="006E5B65">
        <w:rPr>
          <w:rFonts w:cstheme="minorHAnsi"/>
          <w:b/>
          <w:bCs/>
          <w:color w:val="000000"/>
          <w:shd w:val="clear" w:color="auto" w:fill="FFFFFF"/>
        </w:rPr>
        <w:t xml:space="preserve"> Canadian</w:t>
      </w:r>
      <w:r w:rsidRPr="006E5B65">
        <w:rPr>
          <w:rFonts w:cstheme="minorHAnsi"/>
          <w:b/>
          <w:bCs/>
          <w:color w:val="000000"/>
          <w:shd w:val="clear" w:color="auto" w:fill="FFFFFF"/>
        </w:rPr>
        <w:t xml:space="preserve"> retrospective s</w:t>
      </w:r>
      <w:r w:rsidR="00786EED" w:rsidRPr="006E5B65">
        <w:rPr>
          <w:rFonts w:cstheme="minorHAnsi"/>
          <w:b/>
          <w:bCs/>
          <w:color w:val="000000"/>
          <w:shd w:val="clear" w:color="auto" w:fill="FFFFFF"/>
        </w:rPr>
        <w:t>tudy</w:t>
      </w:r>
    </w:p>
    <w:p w14:paraId="777CD1FD" w14:textId="77777777" w:rsidR="00786EED" w:rsidRPr="006E5B65" w:rsidRDefault="00786EED" w:rsidP="00EE1400">
      <w:pPr>
        <w:spacing w:before="100" w:beforeAutospacing="1" w:after="100" w:afterAutospacing="1" w:line="240" w:lineRule="auto"/>
        <w:rPr>
          <w:rFonts w:cstheme="minorHAnsi"/>
          <w:b/>
          <w:bCs/>
          <w:u w:val="single"/>
        </w:rPr>
      </w:pPr>
      <w:r w:rsidRPr="006E5B65">
        <w:rPr>
          <w:rFonts w:cstheme="minorHAnsi"/>
          <w:b/>
          <w:bCs/>
          <w:u w:val="single"/>
        </w:rPr>
        <w:t xml:space="preserve">Background and rationale: </w:t>
      </w:r>
    </w:p>
    <w:p w14:paraId="55DED8A8" w14:textId="2C1F8AAB" w:rsidR="00F43496" w:rsidRPr="006E5B65" w:rsidRDefault="001828F8" w:rsidP="00EE1400">
      <w:pPr>
        <w:spacing w:before="100" w:beforeAutospacing="1" w:after="100" w:afterAutospacing="1" w:line="240" w:lineRule="auto"/>
        <w:rPr>
          <w:rFonts w:cstheme="minorHAnsi"/>
        </w:rPr>
      </w:pPr>
      <w:r w:rsidRPr="006E5B65">
        <w:rPr>
          <w:rFonts w:cstheme="minorHAnsi"/>
        </w:rPr>
        <w:t>Over the past decade, t</w:t>
      </w:r>
      <w:r w:rsidR="00786EED" w:rsidRPr="006E5B65">
        <w:rPr>
          <w:rFonts w:cstheme="minorHAnsi"/>
        </w:rPr>
        <w:t>here have been significant advances in</w:t>
      </w:r>
      <w:r w:rsidRPr="006E5B65">
        <w:rPr>
          <w:rFonts w:cstheme="minorHAnsi"/>
        </w:rPr>
        <w:t xml:space="preserve"> the</w:t>
      </w:r>
      <w:r w:rsidR="00786EED" w:rsidRPr="006E5B65">
        <w:rPr>
          <w:rFonts w:cstheme="minorHAnsi"/>
        </w:rPr>
        <w:t xml:space="preserve"> treatment</w:t>
      </w:r>
      <w:r w:rsidRPr="006E5B65">
        <w:rPr>
          <w:rFonts w:cstheme="minorHAnsi"/>
        </w:rPr>
        <w:t xml:space="preserve"> strategy of newly diagnosed patients with multiple myeloma (NDMM)</w:t>
      </w:r>
      <w:r w:rsidR="00E6369C" w:rsidRPr="006E5B65">
        <w:rPr>
          <w:rFonts w:cstheme="minorHAnsi"/>
        </w:rPr>
        <w:t xml:space="preserve"> </w:t>
      </w:r>
      <w:r w:rsidRPr="006E5B65">
        <w:rPr>
          <w:rFonts w:cstheme="minorHAnsi"/>
        </w:rPr>
        <w:t>with the introduction of proteasome inhibitors (PI), immunomodulatory drugs  (</w:t>
      </w:r>
      <w:proofErr w:type="spellStart"/>
      <w:r w:rsidRPr="006E5B65">
        <w:rPr>
          <w:rFonts w:cstheme="minorHAnsi"/>
        </w:rPr>
        <w:t>Imid</w:t>
      </w:r>
      <w:proofErr w:type="spellEnd"/>
      <w:r w:rsidRPr="006E5B65">
        <w:rPr>
          <w:rFonts w:cstheme="minorHAnsi"/>
        </w:rPr>
        <w:t>)</w:t>
      </w:r>
      <w:r w:rsidR="00E6369C" w:rsidRPr="006E5B65">
        <w:rPr>
          <w:rFonts w:cstheme="minorHAnsi"/>
        </w:rPr>
        <w:t xml:space="preserve"> </w:t>
      </w:r>
      <w:r w:rsidRPr="006E5B65">
        <w:rPr>
          <w:rFonts w:cstheme="minorHAnsi"/>
        </w:rPr>
        <w:t>and monoclonal antibodies (</w:t>
      </w:r>
      <w:proofErr w:type="spellStart"/>
      <w:r w:rsidRPr="006E5B65">
        <w:rPr>
          <w:rFonts w:cstheme="minorHAnsi"/>
        </w:rPr>
        <w:t>MoA</w:t>
      </w:r>
      <w:proofErr w:type="spellEnd"/>
      <w:r w:rsidRPr="006E5B65">
        <w:rPr>
          <w:rFonts w:cstheme="minorHAnsi"/>
        </w:rPr>
        <w:t>)</w:t>
      </w:r>
      <w:r w:rsidR="00786EED" w:rsidRPr="006E5B65">
        <w:rPr>
          <w:rFonts w:cstheme="minorHAnsi"/>
        </w:rPr>
        <w:t xml:space="preserve"> resulting in improvement of survival rates, however treatment of patients with high risk subsets of disease remains to be challenging.</w:t>
      </w:r>
      <w:r w:rsidR="00F43496" w:rsidRPr="00EE1400">
        <w:rPr>
          <w:rFonts w:cstheme="minorHAnsi"/>
        </w:rPr>
        <w:t xml:space="preserve"> </w:t>
      </w:r>
      <w:r w:rsidR="00F43496" w:rsidRPr="006E5B65">
        <w:rPr>
          <w:rFonts w:cstheme="minorHAnsi"/>
        </w:rPr>
        <w:t>Studies have also demonstrated that multiple myeloma (MM) is not only a clinically but also genetically complex and heterogeneous disease (</w:t>
      </w:r>
      <w:r w:rsidR="000F7743" w:rsidRPr="006E5B65">
        <w:rPr>
          <w:rFonts w:cstheme="minorHAnsi"/>
        </w:rPr>
        <w:t>1</w:t>
      </w:r>
      <w:r w:rsidR="00F43496" w:rsidRPr="006E5B65">
        <w:rPr>
          <w:rFonts w:cstheme="minorHAnsi"/>
        </w:rPr>
        <w:t>). Cytogenetic alterations are considered to have an important prognostic value in MM, helping to identify high-risk patients (</w:t>
      </w:r>
      <w:r w:rsidR="000F7743" w:rsidRPr="006E5B65">
        <w:rPr>
          <w:rFonts w:cstheme="minorHAnsi"/>
        </w:rPr>
        <w:t>2,3</w:t>
      </w:r>
      <w:r w:rsidR="00F43496" w:rsidRPr="006E5B65">
        <w:rPr>
          <w:rFonts w:cstheme="minorHAnsi"/>
        </w:rPr>
        <w:t>). Fluorescence in situ hybridization (FISH) analysis identifies chromosomal in the bone marrow plasma cells in about 90% of MM patients at initial diagnosis (</w:t>
      </w:r>
      <w:r w:rsidR="000F7743" w:rsidRPr="006E5B65">
        <w:rPr>
          <w:rFonts w:cstheme="minorHAnsi"/>
        </w:rPr>
        <w:t>4</w:t>
      </w:r>
      <w:r w:rsidR="00F43496" w:rsidRPr="006E5B65">
        <w:rPr>
          <w:rFonts w:cstheme="minorHAnsi"/>
        </w:rPr>
        <w:t xml:space="preserve">). Several abnormalities have been identified as independent negative prognostic markers for survival of MM patients and were used by consensus panels to categorize risk groups, including presence of del(17p), t(4;14), t(14;16), t(14;20), gain(1q), amp (1q) and del(1p) </w:t>
      </w:r>
      <w:r w:rsidR="002B0230" w:rsidRPr="006E5B65">
        <w:rPr>
          <w:rFonts w:cstheme="minorHAnsi"/>
        </w:rPr>
        <w:t xml:space="preserve">and ISS stage 3 disease </w:t>
      </w:r>
      <w:r w:rsidR="00F43496" w:rsidRPr="006E5B65">
        <w:rPr>
          <w:rFonts w:cstheme="minorHAnsi"/>
        </w:rPr>
        <w:t>(</w:t>
      </w:r>
      <w:r w:rsidR="00C57936" w:rsidRPr="006E5B65">
        <w:rPr>
          <w:rFonts w:cstheme="minorHAnsi"/>
        </w:rPr>
        <w:t>5,6</w:t>
      </w:r>
      <w:r w:rsidR="00F43496" w:rsidRPr="006E5B65">
        <w:rPr>
          <w:rFonts w:cstheme="minorHAnsi"/>
        </w:rPr>
        <w:t>). Furthermore, although autologous stem cell transplantation (ASCT) and the development of new agents have considerably increased the median survival of MM patients, data suggesting specific treatment options for different cytogenetic risk groups in newly diagnosed MM are few (</w:t>
      </w:r>
      <w:r w:rsidR="00183F8D" w:rsidRPr="006E5B65">
        <w:rPr>
          <w:rFonts w:cstheme="minorHAnsi"/>
        </w:rPr>
        <w:t>7</w:t>
      </w:r>
      <w:r w:rsidR="00F43496" w:rsidRPr="006E5B65">
        <w:rPr>
          <w:rFonts w:cstheme="minorHAnsi"/>
        </w:rPr>
        <w:t xml:space="preserve">).  </w:t>
      </w:r>
    </w:p>
    <w:p w14:paraId="5175D5CF" w14:textId="6D16FE7B" w:rsidR="00F43496" w:rsidRPr="00EE1400" w:rsidRDefault="00F43496" w:rsidP="006E5B65">
      <w:pPr>
        <w:spacing w:before="100" w:beforeAutospacing="1" w:after="100" w:afterAutospacing="1" w:line="240" w:lineRule="auto"/>
        <w:rPr>
          <w:rFonts w:eastAsia="Times New Roman" w:cstheme="minorHAnsi"/>
          <w:color w:val="000000"/>
        </w:rPr>
      </w:pPr>
      <w:r w:rsidRPr="00EE1400">
        <w:rPr>
          <w:rFonts w:eastAsia="Times New Roman" w:cstheme="minorHAnsi"/>
          <w:color w:val="000000"/>
        </w:rPr>
        <w:t>In the 2019</w:t>
      </w:r>
      <w:r w:rsidR="0085082A" w:rsidRPr="00EE1400">
        <w:rPr>
          <w:rFonts w:eastAsia="Times New Roman" w:cstheme="minorHAnsi"/>
          <w:color w:val="000000"/>
        </w:rPr>
        <w:t xml:space="preserve">, the </w:t>
      </w:r>
      <w:proofErr w:type="spellStart"/>
      <w:r w:rsidR="003E2FF0" w:rsidRPr="006E5B65">
        <w:rPr>
          <w:rFonts w:eastAsia="Times New Roman" w:cstheme="minorHAnsi"/>
          <w:color w:val="000000"/>
        </w:rPr>
        <w:t>STaMINA</w:t>
      </w:r>
      <w:proofErr w:type="spellEnd"/>
      <w:r w:rsidRPr="00EE1400">
        <w:rPr>
          <w:rFonts w:eastAsia="Times New Roman" w:cstheme="minorHAnsi"/>
          <w:color w:val="000000"/>
        </w:rPr>
        <w:t xml:space="preserve"> trial by </w:t>
      </w:r>
      <w:proofErr w:type="spellStart"/>
      <w:r w:rsidRPr="00EE1400">
        <w:rPr>
          <w:rFonts w:eastAsia="Times New Roman" w:cstheme="minorHAnsi"/>
          <w:color w:val="000000"/>
        </w:rPr>
        <w:t>Stadtmauer</w:t>
      </w:r>
      <w:proofErr w:type="spellEnd"/>
      <w:r w:rsidRPr="00EE1400">
        <w:rPr>
          <w:rFonts w:eastAsia="Times New Roman" w:cstheme="minorHAnsi"/>
          <w:color w:val="000000"/>
        </w:rPr>
        <w:t xml:space="preserve"> et al</w:t>
      </w:r>
      <w:r w:rsidR="00033BDD" w:rsidRPr="006E5B65">
        <w:rPr>
          <w:rFonts w:eastAsia="Times New Roman" w:cstheme="minorHAnsi"/>
          <w:color w:val="000000"/>
        </w:rPr>
        <w:t xml:space="preserve"> (8) </w:t>
      </w:r>
      <w:r w:rsidRPr="00EE1400">
        <w:rPr>
          <w:rFonts w:eastAsia="Times New Roman" w:cstheme="minorHAnsi"/>
          <w:color w:val="000000"/>
        </w:rPr>
        <w:t xml:space="preserve">, </w:t>
      </w:r>
      <w:r w:rsidR="0085082A" w:rsidRPr="00EE1400">
        <w:rPr>
          <w:rFonts w:eastAsia="Times New Roman" w:cstheme="minorHAnsi"/>
          <w:color w:val="000000"/>
        </w:rPr>
        <w:t xml:space="preserve">demonstrated that </w:t>
      </w:r>
      <w:r w:rsidRPr="00EE1400">
        <w:rPr>
          <w:rFonts w:eastAsia="Times New Roman" w:cstheme="minorHAnsi"/>
          <w:color w:val="000000"/>
        </w:rPr>
        <w:t xml:space="preserve">in </w:t>
      </w:r>
      <w:r w:rsidRPr="00EE1400">
        <w:rPr>
          <w:rFonts w:eastAsia="Times New Roman" w:cstheme="minorHAnsi"/>
          <w:color w:val="000000"/>
          <w:shd w:val="clear" w:color="auto" w:fill="FFFFFF"/>
        </w:rPr>
        <w:t>patients with high-risk cytogenetics there was a benefit with tandem A</w:t>
      </w:r>
      <w:r w:rsidR="0085082A" w:rsidRPr="00EE1400">
        <w:rPr>
          <w:rFonts w:eastAsia="Times New Roman" w:cstheme="minorHAnsi"/>
          <w:color w:val="000000"/>
          <w:shd w:val="clear" w:color="auto" w:fill="FFFFFF"/>
        </w:rPr>
        <w:t>S</w:t>
      </w:r>
      <w:r w:rsidRPr="00EE1400">
        <w:rPr>
          <w:rFonts w:eastAsia="Times New Roman" w:cstheme="minorHAnsi"/>
          <w:color w:val="000000"/>
          <w:shd w:val="clear" w:color="auto" w:fill="FFFFFF"/>
        </w:rPr>
        <w:t>CT compared with a single A</w:t>
      </w:r>
      <w:r w:rsidR="0085082A" w:rsidRPr="00EE1400">
        <w:rPr>
          <w:rFonts w:eastAsia="Times New Roman" w:cstheme="minorHAnsi"/>
          <w:color w:val="000000"/>
          <w:shd w:val="clear" w:color="auto" w:fill="FFFFFF"/>
        </w:rPr>
        <w:t>S</w:t>
      </w:r>
      <w:r w:rsidRPr="00EE1400">
        <w:rPr>
          <w:rFonts w:eastAsia="Times New Roman" w:cstheme="minorHAnsi"/>
          <w:color w:val="000000"/>
          <w:shd w:val="clear" w:color="auto" w:fill="FFFFFF"/>
        </w:rPr>
        <w:t>CT (3-year progression-free survival (PFS), 65% </w:t>
      </w:r>
      <w:r w:rsidRPr="00EE1400">
        <w:rPr>
          <w:rFonts w:eastAsia="Times New Roman" w:cstheme="minorHAnsi"/>
          <w:i/>
          <w:iCs/>
          <w:color w:val="000000"/>
          <w:shd w:val="clear" w:color="auto" w:fill="FFFFFF"/>
        </w:rPr>
        <w:t>v</w:t>
      </w:r>
      <w:r w:rsidRPr="00EE1400">
        <w:rPr>
          <w:rFonts w:eastAsia="Times New Roman" w:cstheme="minorHAnsi"/>
          <w:color w:val="000000"/>
          <w:shd w:val="clear" w:color="auto" w:fill="FFFFFF"/>
        </w:rPr>
        <w:t> 41%, respectively; </w:t>
      </w:r>
      <w:r w:rsidRPr="00EE1400">
        <w:rPr>
          <w:rFonts w:eastAsia="Times New Roman" w:cstheme="minorHAnsi"/>
          <w:i/>
          <w:iCs/>
          <w:color w:val="000000"/>
          <w:shd w:val="clear" w:color="auto" w:fill="FFFFFF"/>
        </w:rPr>
        <w:t>P</w:t>
      </w:r>
      <w:r w:rsidRPr="00EE1400">
        <w:rPr>
          <w:rFonts w:eastAsia="Times New Roman" w:cstheme="minorHAnsi"/>
          <w:color w:val="000000"/>
          <w:shd w:val="clear" w:color="auto" w:fill="FFFFFF"/>
        </w:rPr>
        <w:t xml:space="preserve"> = .05). </w:t>
      </w:r>
      <w:r w:rsidR="0086479E" w:rsidRPr="006E5B65">
        <w:rPr>
          <w:rFonts w:eastAsia="Times New Roman" w:cstheme="minorHAnsi"/>
          <w:color w:val="000000"/>
        </w:rPr>
        <w:t xml:space="preserve">In their 6-year follow up publication, the Stamina group confirmed the benefit of tandem ASCT followed by lenalidomide maintenance compare to single ASCT and lenalidomide (PFS 49.4% vs. 39%, p=0.01) </w:t>
      </w:r>
      <w:proofErr w:type="gramStart"/>
      <w:r w:rsidR="0086479E" w:rsidRPr="006E5B65">
        <w:rPr>
          <w:rFonts w:eastAsia="Times New Roman" w:cstheme="minorHAnsi"/>
          <w:color w:val="000000"/>
        </w:rPr>
        <w:t>for  high</w:t>
      </w:r>
      <w:proofErr w:type="gramEnd"/>
      <w:r w:rsidR="0086479E" w:rsidRPr="006E5B65">
        <w:rPr>
          <w:rFonts w:eastAsia="Times New Roman" w:cstheme="minorHAnsi"/>
          <w:color w:val="000000"/>
        </w:rPr>
        <w:t xml:space="preserve"> risk patients (Parameswaran H, JCO, 2020).</w:t>
      </w:r>
      <w:r w:rsidRPr="00EE1400">
        <w:rPr>
          <w:rFonts w:eastAsia="Times New Roman" w:cstheme="minorHAnsi"/>
          <w:color w:val="000000"/>
        </w:rPr>
        <w:t xml:space="preserve"> In </w:t>
      </w:r>
      <w:r w:rsidR="00651F94" w:rsidRPr="006E5B65">
        <w:rPr>
          <w:rFonts w:eastAsia="Times New Roman" w:cstheme="minorHAnsi"/>
          <w:color w:val="000000"/>
        </w:rPr>
        <w:t xml:space="preserve">the study by </w:t>
      </w:r>
      <w:proofErr w:type="spellStart"/>
      <w:r w:rsidRPr="00EE1400">
        <w:rPr>
          <w:rFonts w:eastAsia="Times New Roman" w:cstheme="minorHAnsi"/>
          <w:color w:val="000000"/>
        </w:rPr>
        <w:t>Gagelmann</w:t>
      </w:r>
      <w:proofErr w:type="spellEnd"/>
      <w:r w:rsidRPr="00EE1400">
        <w:rPr>
          <w:rFonts w:eastAsia="Times New Roman" w:cstheme="minorHAnsi"/>
          <w:color w:val="000000"/>
        </w:rPr>
        <w:t xml:space="preserve"> et al</w:t>
      </w:r>
      <w:r w:rsidR="007C5EAF" w:rsidRPr="006E5B65">
        <w:rPr>
          <w:rFonts w:eastAsia="Times New Roman" w:cstheme="minorHAnsi"/>
          <w:color w:val="000000"/>
        </w:rPr>
        <w:t xml:space="preserve"> </w:t>
      </w:r>
      <w:r w:rsidR="00C9226D" w:rsidRPr="006E5B65">
        <w:rPr>
          <w:rFonts w:eastAsia="Times New Roman" w:cstheme="minorHAnsi"/>
          <w:color w:val="000000"/>
        </w:rPr>
        <w:t>(7</w:t>
      </w:r>
      <w:proofErr w:type="gramStart"/>
      <w:r w:rsidR="00C9226D" w:rsidRPr="006E5B65">
        <w:rPr>
          <w:rFonts w:eastAsia="Times New Roman" w:cstheme="minorHAnsi"/>
          <w:color w:val="000000"/>
        </w:rPr>
        <w:t xml:space="preserve">) </w:t>
      </w:r>
      <w:r w:rsidRPr="00EE1400">
        <w:rPr>
          <w:rFonts w:eastAsia="Times New Roman" w:cstheme="minorHAnsi"/>
          <w:color w:val="000000"/>
        </w:rPr>
        <w:t>,</w:t>
      </w:r>
      <w:proofErr w:type="gramEnd"/>
      <w:r w:rsidRPr="00EE1400">
        <w:rPr>
          <w:rFonts w:eastAsia="Times New Roman" w:cstheme="minorHAnsi"/>
          <w:color w:val="000000"/>
        </w:rPr>
        <w:t xml:space="preserve"> the multivariate analysis </w:t>
      </w:r>
      <w:r w:rsidR="0086479E" w:rsidRPr="006E5B65">
        <w:rPr>
          <w:rFonts w:eastAsia="Times New Roman" w:cstheme="minorHAnsi"/>
          <w:color w:val="000000"/>
        </w:rPr>
        <w:t>suggested</w:t>
      </w:r>
      <w:r w:rsidRPr="00EE1400">
        <w:rPr>
          <w:rFonts w:eastAsia="Times New Roman" w:cstheme="minorHAnsi"/>
          <w:color w:val="000000"/>
        </w:rPr>
        <w:t xml:space="preserve"> that high-risk cytogenetics w</w:t>
      </w:r>
      <w:r w:rsidR="0086479E" w:rsidRPr="006E5B65">
        <w:rPr>
          <w:rFonts w:eastAsia="Times New Roman" w:cstheme="minorHAnsi"/>
          <w:color w:val="000000"/>
        </w:rPr>
        <w:t>as</w:t>
      </w:r>
      <w:r w:rsidRPr="00EE1400">
        <w:rPr>
          <w:rFonts w:eastAsia="Times New Roman" w:cstheme="minorHAnsi"/>
          <w:color w:val="000000"/>
        </w:rPr>
        <w:t xml:space="preserve"> associated with worse survival (hazard ratio (HR) 2.00; P=.003) but tandem </w:t>
      </w:r>
      <w:r w:rsidR="0086479E" w:rsidRPr="006E5B65">
        <w:rPr>
          <w:rFonts w:eastAsia="Times New Roman" w:cstheme="minorHAnsi"/>
          <w:color w:val="000000"/>
        </w:rPr>
        <w:t xml:space="preserve">ASCT </w:t>
      </w:r>
      <w:r w:rsidR="00833867" w:rsidRPr="006E5B65">
        <w:rPr>
          <w:rFonts w:eastAsia="Times New Roman" w:cstheme="minorHAnsi"/>
          <w:color w:val="000000"/>
        </w:rPr>
        <w:t>mathematically</w:t>
      </w:r>
      <w:r w:rsidRPr="00EE1400">
        <w:rPr>
          <w:rFonts w:eastAsia="Times New Roman" w:cstheme="minorHAnsi"/>
          <w:color w:val="000000"/>
        </w:rPr>
        <w:t xml:space="preserve"> improved outcome</w:t>
      </w:r>
      <w:r w:rsidR="00833867" w:rsidRPr="006E5B65">
        <w:rPr>
          <w:rFonts w:eastAsia="Times New Roman" w:cstheme="minorHAnsi"/>
          <w:color w:val="000000"/>
        </w:rPr>
        <w:t>s</w:t>
      </w:r>
      <w:r w:rsidR="003E2FF0" w:rsidRPr="006E5B65">
        <w:rPr>
          <w:rFonts w:eastAsia="Times New Roman" w:cstheme="minorHAnsi"/>
          <w:color w:val="000000"/>
        </w:rPr>
        <w:t xml:space="preserve"> (</w:t>
      </w:r>
      <w:r w:rsidRPr="00EE1400">
        <w:rPr>
          <w:rFonts w:eastAsia="Times New Roman" w:cstheme="minorHAnsi"/>
          <w:color w:val="000000"/>
        </w:rPr>
        <w:t xml:space="preserve">HR,.46 and.64; P=.02 and P=.03). </w:t>
      </w:r>
    </w:p>
    <w:p w14:paraId="3A3B5AF8" w14:textId="66DF3A24" w:rsidR="000C032B" w:rsidRPr="006E5B65" w:rsidRDefault="00DA0429" w:rsidP="00EE1400">
      <w:pPr>
        <w:spacing w:before="100" w:beforeAutospacing="1" w:after="100" w:afterAutospacing="1" w:line="240" w:lineRule="auto"/>
        <w:rPr>
          <w:rFonts w:cstheme="minorHAnsi"/>
        </w:rPr>
      </w:pPr>
      <w:r w:rsidRPr="006E5B65">
        <w:rPr>
          <w:rFonts w:cstheme="minorHAnsi"/>
        </w:rPr>
        <w:t xml:space="preserve">Maintenance treatment following </w:t>
      </w:r>
      <w:r w:rsidR="00312D10" w:rsidRPr="006E5B65">
        <w:rPr>
          <w:rFonts w:cstheme="minorHAnsi"/>
        </w:rPr>
        <w:t>ASCT</w:t>
      </w:r>
      <w:r w:rsidRPr="006E5B65">
        <w:rPr>
          <w:rFonts w:cstheme="minorHAnsi"/>
        </w:rPr>
        <w:t xml:space="preserve"> has become the standard of care in patients with myeloma to deepen responses and prolong treatment response duration. A recent meta-analysis of the largest clinical trials investigated</w:t>
      </w:r>
      <w:r w:rsidR="001F13FF" w:rsidRPr="006E5B65">
        <w:rPr>
          <w:rFonts w:cstheme="minorHAnsi"/>
        </w:rPr>
        <w:t xml:space="preserve"> the</w:t>
      </w:r>
      <w:r w:rsidRPr="006E5B65">
        <w:rPr>
          <w:rFonts w:cstheme="minorHAnsi"/>
        </w:rPr>
        <w:t xml:space="preserve"> role of maintenance Lenalidomide post</w:t>
      </w:r>
      <w:r w:rsidR="001F13FF" w:rsidRPr="006E5B65">
        <w:rPr>
          <w:rFonts w:cstheme="minorHAnsi"/>
        </w:rPr>
        <w:t>-</w:t>
      </w:r>
      <w:r w:rsidRPr="006E5B65">
        <w:rPr>
          <w:rFonts w:cstheme="minorHAnsi"/>
        </w:rPr>
        <w:t xml:space="preserve"> ASCT and confirmed significant improvement in both PFS and OS in all post-ASCT patients. In the subgroup analysis of small number of patients with poor risk cytogenetics</w:t>
      </w:r>
      <w:r w:rsidR="001F13FF" w:rsidRPr="006E5B65">
        <w:rPr>
          <w:rFonts w:cstheme="minorHAnsi"/>
        </w:rPr>
        <w:t>,</w:t>
      </w:r>
      <w:r w:rsidRPr="006E5B65">
        <w:rPr>
          <w:rFonts w:cstheme="minorHAnsi"/>
        </w:rPr>
        <w:t xml:space="preserve"> PFS benefit was seen but this was not translated into improvement in OS (</w:t>
      </w:r>
      <w:r w:rsidR="00701B31" w:rsidRPr="006E5B65">
        <w:rPr>
          <w:rFonts w:cstheme="minorHAnsi"/>
        </w:rPr>
        <w:t>14</w:t>
      </w:r>
      <w:r w:rsidRPr="006E5B65">
        <w:rPr>
          <w:rFonts w:cstheme="minorHAnsi"/>
        </w:rPr>
        <w:t xml:space="preserve">). </w:t>
      </w:r>
      <w:r w:rsidR="00312D10" w:rsidRPr="006E5B65">
        <w:rPr>
          <w:rFonts w:cstheme="minorHAnsi"/>
        </w:rPr>
        <w:t xml:space="preserve">Despite the fact that lenalidomide has become the standard of care in maintenance therapy, its efficacy in patients with </w:t>
      </w:r>
      <w:proofErr w:type="gramStart"/>
      <w:r w:rsidR="00312D10" w:rsidRPr="006E5B65">
        <w:rPr>
          <w:rFonts w:cstheme="minorHAnsi"/>
        </w:rPr>
        <w:t>high risk</w:t>
      </w:r>
      <w:proofErr w:type="gramEnd"/>
      <w:r w:rsidR="00312D10" w:rsidRPr="006E5B65">
        <w:rPr>
          <w:rFonts w:cstheme="minorHAnsi"/>
        </w:rPr>
        <w:t xml:space="preserve"> features remains conflicting (</w:t>
      </w:r>
      <w:r w:rsidR="007E79BD" w:rsidRPr="006E5B65">
        <w:rPr>
          <w:rFonts w:cstheme="minorHAnsi"/>
        </w:rPr>
        <w:t>10</w:t>
      </w:r>
      <w:r w:rsidR="00312D10" w:rsidRPr="006E5B65">
        <w:rPr>
          <w:rFonts w:cstheme="minorHAnsi"/>
        </w:rPr>
        <w:t>-</w:t>
      </w:r>
      <w:r w:rsidR="007E79BD" w:rsidRPr="006E5B65">
        <w:rPr>
          <w:rFonts w:cstheme="minorHAnsi"/>
        </w:rPr>
        <w:t>13</w:t>
      </w:r>
      <w:r w:rsidR="00312D10" w:rsidRPr="006E5B65">
        <w:rPr>
          <w:rFonts w:cstheme="minorHAnsi"/>
        </w:rPr>
        <w:t xml:space="preserve">, </w:t>
      </w:r>
      <w:r w:rsidR="007E79BD" w:rsidRPr="006E5B65">
        <w:rPr>
          <w:rFonts w:cstheme="minorHAnsi"/>
        </w:rPr>
        <w:t>20</w:t>
      </w:r>
      <w:r w:rsidR="0067097E" w:rsidRPr="006E5B65">
        <w:rPr>
          <w:rFonts w:cstheme="minorHAnsi"/>
        </w:rPr>
        <w:t>)</w:t>
      </w:r>
      <w:r w:rsidR="006E5B65">
        <w:rPr>
          <w:rFonts w:cstheme="minorHAnsi"/>
        </w:rPr>
        <w:t>.</w:t>
      </w:r>
      <w:r w:rsidR="0067097E" w:rsidRPr="006E5B65">
        <w:rPr>
          <w:rFonts w:cstheme="minorHAnsi"/>
        </w:rPr>
        <w:t xml:space="preserve"> </w:t>
      </w:r>
    </w:p>
    <w:p w14:paraId="4FDC0B5E" w14:textId="00B346AF" w:rsidR="00DA0429" w:rsidRPr="006E5B65" w:rsidRDefault="00312D10" w:rsidP="00EE1400">
      <w:pPr>
        <w:spacing w:before="100" w:beforeAutospacing="1" w:after="100" w:afterAutospacing="1" w:line="240" w:lineRule="auto"/>
        <w:rPr>
          <w:rFonts w:cstheme="minorHAnsi"/>
        </w:rPr>
      </w:pPr>
      <w:r w:rsidRPr="006E5B65">
        <w:rPr>
          <w:rFonts w:cstheme="minorHAnsi"/>
        </w:rPr>
        <w:t xml:space="preserve">The Myeloma XI trial assessed lenalidomide maintenance versus observation in patients with NDMM including cytogenetic </w:t>
      </w:r>
      <w:r w:rsidR="00FF34B9" w:rsidRPr="006E5B65">
        <w:rPr>
          <w:rFonts w:cstheme="minorHAnsi"/>
        </w:rPr>
        <w:t xml:space="preserve">high </w:t>
      </w:r>
      <w:r w:rsidRPr="006E5B65">
        <w:rPr>
          <w:rFonts w:cstheme="minorHAnsi"/>
        </w:rPr>
        <w:t>risk subgroup analysis. Although not able to completely overcome the negative impact of high-risk cytogenetics, the PFS benefit was present regardless of cytogenetic risk and the hazard ratio for improvement in PFS for lenalidomide over observation was similar for the high-risk and ultra-high-risk populations to that of the standard risk group (hazard ratios, 0.38 for standard</w:t>
      </w:r>
      <w:r w:rsidR="0039260A" w:rsidRPr="006E5B65">
        <w:rPr>
          <w:rFonts w:cstheme="minorHAnsi"/>
        </w:rPr>
        <w:t xml:space="preserve"> [95% CI 0.28-0.50]</w:t>
      </w:r>
      <w:r w:rsidRPr="006E5B65">
        <w:rPr>
          <w:rFonts w:cstheme="minorHAnsi"/>
        </w:rPr>
        <w:t>; 0.45 for high</w:t>
      </w:r>
      <w:r w:rsidR="0039260A" w:rsidRPr="006E5B65">
        <w:rPr>
          <w:rFonts w:cstheme="minorHAnsi"/>
        </w:rPr>
        <w:t xml:space="preserve"> [95% CI 0.33-0.62]</w:t>
      </w:r>
      <w:r w:rsidRPr="006E5B65">
        <w:rPr>
          <w:rFonts w:cstheme="minorHAnsi"/>
        </w:rPr>
        <w:t>; and 0.42 for ultra-high</w:t>
      </w:r>
      <w:r w:rsidR="0039260A" w:rsidRPr="006E5B65">
        <w:rPr>
          <w:rFonts w:cstheme="minorHAnsi"/>
        </w:rPr>
        <w:t xml:space="preserve"> [95% CI 0.24-0.75]</w:t>
      </w:r>
      <w:r w:rsidRPr="006E5B65">
        <w:rPr>
          <w:rFonts w:cstheme="minorHAnsi"/>
        </w:rPr>
        <w:t>). However, the subgroup analysis was not powered enough to draw a conclusive interpretation (</w:t>
      </w:r>
      <w:r w:rsidR="004D5C89" w:rsidRPr="006E5B65">
        <w:rPr>
          <w:rFonts w:cstheme="minorHAnsi"/>
        </w:rPr>
        <w:t>10</w:t>
      </w:r>
      <w:r w:rsidRPr="006E5B65">
        <w:rPr>
          <w:rFonts w:cstheme="minorHAnsi"/>
        </w:rPr>
        <w:t xml:space="preserve">). </w:t>
      </w:r>
    </w:p>
    <w:p w14:paraId="4C714175" w14:textId="5DFF368C" w:rsidR="00786EED" w:rsidRPr="006E5B65" w:rsidRDefault="00786EED" w:rsidP="00EE1400">
      <w:pPr>
        <w:spacing w:before="100" w:beforeAutospacing="1" w:after="100" w:afterAutospacing="1" w:line="240" w:lineRule="auto"/>
        <w:rPr>
          <w:rFonts w:cstheme="minorHAnsi"/>
        </w:rPr>
      </w:pPr>
      <w:r w:rsidRPr="006E5B65">
        <w:rPr>
          <w:rFonts w:cstheme="minorHAnsi"/>
        </w:rPr>
        <w:t>Proteas</w:t>
      </w:r>
      <w:r w:rsidR="00611F3A" w:rsidRPr="006E5B65">
        <w:rPr>
          <w:rFonts w:cstheme="minorHAnsi"/>
        </w:rPr>
        <w:t>ome</w:t>
      </w:r>
      <w:r w:rsidRPr="006E5B65">
        <w:rPr>
          <w:rFonts w:cstheme="minorHAnsi"/>
        </w:rPr>
        <w:t xml:space="preserve"> inhibitors</w:t>
      </w:r>
      <w:r w:rsidR="00FF34B9" w:rsidRPr="006E5B65">
        <w:rPr>
          <w:rFonts w:cstheme="minorHAnsi"/>
        </w:rPr>
        <w:t xml:space="preserve"> (PI)</w:t>
      </w:r>
      <w:r w:rsidR="00611F3A" w:rsidRPr="006E5B65">
        <w:rPr>
          <w:rFonts w:cstheme="minorHAnsi"/>
        </w:rPr>
        <w:t xml:space="preserve"> are another class of agents that</w:t>
      </w:r>
      <w:r w:rsidRPr="006E5B65">
        <w:rPr>
          <w:rFonts w:cstheme="minorHAnsi"/>
        </w:rPr>
        <w:t xml:space="preserve"> have also been used as single </w:t>
      </w:r>
      <w:r w:rsidR="00FF34B9" w:rsidRPr="006E5B65">
        <w:rPr>
          <w:rFonts w:cstheme="minorHAnsi"/>
        </w:rPr>
        <w:t xml:space="preserve">agent </w:t>
      </w:r>
      <w:r w:rsidR="00611F3A" w:rsidRPr="006E5B65">
        <w:rPr>
          <w:rFonts w:cstheme="minorHAnsi"/>
        </w:rPr>
        <w:t>or in combination with lenalidomide for</w:t>
      </w:r>
      <w:r w:rsidRPr="006E5B65">
        <w:rPr>
          <w:rFonts w:cstheme="minorHAnsi"/>
        </w:rPr>
        <w:t xml:space="preserve"> maintenance</w:t>
      </w:r>
      <w:r w:rsidR="00611F3A" w:rsidRPr="006E5B65">
        <w:rPr>
          <w:rFonts w:cstheme="minorHAnsi"/>
        </w:rPr>
        <w:t xml:space="preserve"> therapy</w:t>
      </w:r>
      <w:r w:rsidRPr="006E5B65">
        <w:rPr>
          <w:rFonts w:cstheme="minorHAnsi"/>
        </w:rPr>
        <w:t>. The HOVON-65/GMMG-HD4 trial</w:t>
      </w:r>
      <w:r w:rsidR="005B005B" w:rsidRPr="006E5B65">
        <w:rPr>
          <w:rFonts w:cstheme="minorHAnsi"/>
        </w:rPr>
        <w:t xml:space="preserve"> </w:t>
      </w:r>
      <w:r w:rsidRPr="006E5B65">
        <w:rPr>
          <w:rFonts w:cstheme="minorHAnsi"/>
        </w:rPr>
        <w:t xml:space="preserve">compared </w:t>
      </w:r>
      <w:r w:rsidR="00611F3A" w:rsidRPr="006E5B65">
        <w:rPr>
          <w:rFonts w:cstheme="minorHAnsi"/>
        </w:rPr>
        <w:t>bortezomib</w:t>
      </w:r>
      <w:r w:rsidR="009104C3" w:rsidRPr="006E5B65">
        <w:rPr>
          <w:rFonts w:cstheme="minorHAnsi"/>
        </w:rPr>
        <w:t>-</w:t>
      </w:r>
      <w:r w:rsidRPr="006E5B65">
        <w:rPr>
          <w:rFonts w:cstheme="minorHAnsi"/>
        </w:rPr>
        <w:t xml:space="preserve">based induction and maintenance with </w:t>
      </w:r>
      <w:proofErr w:type="spellStart"/>
      <w:r w:rsidRPr="006E5B65">
        <w:rPr>
          <w:rFonts w:cstheme="minorHAnsi"/>
        </w:rPr>
        <w:t xml:space="preserve">non </w:t>
      </w:r>
      <w:r w:rsidR="009104C3" w:rsidRPr="006E5B65">
        <w:rPr>
          <w:rFonts w:cstheme="minorHAnsi"/>
        </w:rPr>
        <w:t>bortezomib</w:t>
      </w:r>
      <w:proofErr w:type="spellEnd"/>
      <w:r w:rsidR="009104C3" w:rsidRPr="006E5B65">
        <w:rPr>
          <w:rFonts w:cstheme="minorHAnsi"/>
        </w:rPr>
        <w:t>-</w:t>
      </w:r>
      <w:r w:rsidRPr="006E5B65">
        <w:rPr>
          <w:rFonts w:cstheme="minorHAnsi"/>
        </w:rPr>
        <w:t xml:space="preserve"> based approach. </w:t>
      </w:r>
      <w:r w:rsidR="009104C3" w:rsidRPr="006E5B65">
        <w:rPr>
          <w:rFonts w:cstheme="minorHAnsi"/>
        </w:rPr>
        <w:t>Bortezomib</w:t>
      </w:r>
      <w:r w:rsidRPr="006E5B65">
        <w:rPr>
          <w:rFonts w:cstheme="minorHAnsi"/>
        </w:rPr>
        <w:t xml:space="preserve"> during induction and maintenance significantly improved PFS and OS in all newly diagnosed patients with MM. The subgroup analysis showed that the adverse impact of del(17p) on PFS and OS could be significantly reduced by bortezomib treatment</w:t>
      </w:r>
      <w:r w:rsidR="002F78CD" w:rsidRPr="006E5B65">
        <w:rPr>
          <w:rFonts w:cstheme="minorHAnsi"/>
        </w:rPr>
        <w:t xml:space="preserve"> </w:t>
      </w:r>
      <w:r w:rsidR="002F78CD" w:rsidRPr="00EE1400">
        <w:rPr>
          <w:rFonts w:cstheme="minorHAnsi"/>
        </w:rPr>
        <w:t>(median PFS, 12 v 22 months; HR, 0.47; 95% CI, 0.26 to 0.86; P .01; median OS, 24 months v not reached at 54 months; HR, 0.36; 95% CI, 0.18 to 0.74; P .003).</w:t>
      </w:r>
      <w:r w:rsidR="00FF34B9" w:rsidRPr="006E5B65">
        <w:rPr>
          <w:rFonts w:cstheme="minorHAnsi"/>
        </w:rPr>
        <w:t xml:space="preserve"> </w:t>
      </w:r>
      <w:r w:rsidRPr="006E5B65">
        <w:rPr>
          <w:rFonts w:cstheme="minorHAnsi"/>
        </w:rPr>
        <w:t>(</w:t>
      </w:r>
      <w:r w:rsidR="005B005B" w:rsidRPr="006E5B65">
        <w:rPr>
          <w:rFonts w:cstheme="minorHAnsi"/>
        </w:rPr>
        <w:t>15</w:t>
      </w:r>
      <w:r w:rsidR="005C79B9" w:rsidRPr="006E5B65">
        <w:rPr>
          <w:rFonts w:cstheme="minorHAnsi"/>
        </w:rPr>
        <w:t>,</w:t>
      </w:r>
      <w:r w:rsidR="005B005B" w:rsidRPr="006E5B65">
        <w:rPr>
          <w:rFonts w:cstheme="minorHAnsi"/>
        </w:rPr>
        <w:t>16</w:t>
      </w:r>
      <w:r w:rsidRPr="006E5B65">
        <w:rPr>
          <w:rFonts w:cstheme="minorHAnsi"/>
        </w:rPr>
        <w:t xml:space="preserve">). </w:t>
      </w:r>
    </w:p>
    <w:p w14:paraId="678449AF" w14:textId="77777777" w:rsidR="006E5B65" w:rsidRDefault="006E5B65" w:rsidP="00EE1400">
      <w:pPr>
        <w:spacing w:before="100" w:beforeAutospacing="1" w:after="100" w:afterAutospacing="1" w:line="240" w:lineRule="auto"/>
        <w:rPr>
          <w:rFonts w:cstheme="minorHAnsi"/>
        </w:rPr>
      </w:pPr>
    </w:p>
    <w:p w14:paraId="36A692C2" w14:textId="77777777" w:rsidR="006E5B65" w:rsidRDefault="006E5B65" w:rsidP="00EE1400">
      <w:pPr>
        <w:spacing w:before="100" w:beforeAutospacing="1" w:after="100" w:afterAutospacing="1" w:line="240" w:lineRule="auto"/>
        <w:rPr>
          <w:rFonts w:cstheme="minorHAnsi"/>
        </w:rPr>
      </w:pPr>
    </w:p>
    <w:p w14:paraId="411B3EB5" w14:textId="77777777" w:rsidR="006E5B65" w:rsidRDefault="006E5B65" w:rsidP="00EE1400">
      <w:pPr>
        <w:spacing w:before="100" w:beforeAutospacing="1" w:after="100" w:afterAutospacing="1" w:line="240" w:lineRule="auto"/>
        <w:rPr>
          <w:rFonts w:cstheme="minorHAnsi"/>
        </w:rPr>
      </w:pPr>
    </w:p>
    <w:p w14:paraId="2FE90A0F" w14:textId="393E6B92" w:rsidR="00786EED" w:rsidRPr="006E5B65" w:rsidRDefault="00786EED" w:rsidP="00EE1400">
      <w:pPr>
        <w:spacing w:before="100" w:beforeAutospacing="1" w:after="100" w:afterAutospacing="1" w:line="240" w:lineRule="auto"/>
        <w:rPr>
          <w:rFonts w:cstheme="minorHAnsi"/>
        </w:rPr>
      </w:pPr>
      <w:r w:rsidRPr="006E5B65">
        <w:rPr>
          <w:rFonts w:cstheme="minorHAnsi"/>
        </w:rPr>
        <w:t>The Tourmaline</w:t>
      </w:r>
      <w:r w:rsidR="009104C3" w:rsidRPr="006E5B65">
        <w:rPr>
          <w:rFonts w:cstheme="minorHAnsi"/>
        </w:rPr>
        <w:t>-MM3</w:t>
      </w:r>
      <w:r w:rsidRPr="006E5B65">
        <w:rPr>
          <w:rFonts w:cstheme="minorHAnsi"/>
        </w:rPr>
        <w:t xml:space="preserve"> clinical trial </w:t>
      </w:r>
      <w:r w:rsidR="005C79B9" w:rsidRPr="006E5B65">
        <w:rPr>
          <w:rFonts w:cstheme="minorHAnsi"/>
        </w:rPr>
        <w:t xml:space="preserve">compared an oral </w:t>
      </w:r>
      <w:r w:rsidR="00FF34B9" w:rsidRPr="006E5B65">
        <w:rPr>
          <w:rFonts w:cstheme="minorHAnsi"/>
        </w:rPr>
        <w:t>PI</w:t>
      </w:r>
      <w:r w:rsidRPr="006E5B65">
        <w:rPr>
          <w:rFonts w:cstheme="minorHAnsi"/>
        </w:rPr>
        <w:t xml:space="preserve">, </w:t>
      </w:r>
      <w:proofErr w:type="spellStart"/>
      <w:r w:rsidR="009104C3" w:rsidRPr="006E5B65">
        <w:rPr>
          <w:rFonts w:cstheme="minorHAnsi"/>
        </w:rPr>
        <w:t>i</w:t>
      </w:r>
      <w:r w:rsidRPr="006E5B65">
        <w:rPr>
          <w:rFonts w:cstheme="minorHAnsi"/>
        </w:rPr>
        <w:t>xazomib</w:t>
      </w:r>
      <w:proofErr w:type="spellEnd"/>
      <w:r w:rsidRPr="006E5B65">
        <w:rPr>
          <w:rFonts w:cstheme="minorHAnsi"/>
        </w:rPr>
        <w:t xml:space="preserve">, </w:t>
      </w:r>
      <w:r w:rsidR="009104C3" w:rsidRPr="006E5B65">
        <w:rPr>
          <w:rFonts w:cstheme="minorHAnsi"/>
        </w:rPr>
        <w:t xml:space="preserve">to </w:t>
      </w:r>
      <w:r w:rsidRPr="006E5B65">
        <w:rPr>
          <w:rFonts w:cstheme="minorHAnsi"/>
        </w:rPr>
        <w:t xml:space="preserve">placebo as maintenance therapy post ASCT. </w:t>
      </w:r>
      <w:r w:rsidR="009104C3" w:rsidRPr="006E5B65">
        <w:rPr>
          <w:rFonts w:cstheme="minorHAnsi"/>
        </w:rPr>
        <w:t xml:space="preserve">The use of </w:t>
      </w:r>
      <w:proofErr w:type="spellStart"/>
      <w:r w:rsidR="009104C3" w:rsidRPr="006E5B65">
        <w:rPr>
          <w:rFonts w:cstheme="minorHAnsi"/>
        </w:rPr>
        <w:t>i</w:t>
      </w:r>
      <w:r w:rsidRPr="006E5B65">
        <w:rPr>
          <w:rFonts w:cstheme="minorHAnsi"/>
        </w:rPr>
        <w:t>xazomib</w:t>
      </w:r>
      <w:proofErr w:type="spellEnd"/>
      <w:r w:rsidRPr="006E5B65">
        <w:rPr>
          <w:rFonts w:cstheme="minorHAnsi"/>
        </w:rPr>
        <w:t xml:space="preserve"> resulted in 28% reduction in the risk of progression versus placebo with median PFS of 27 months compared to 21 months</w:t>
      </w:r>
      <w:r w:rsidR="00F567EF" w:rsidRPr="006E5B65">
        <w:rPr>
          <w:rFonts w:cstheme="minorHAnsi"/>
        </w:rPr>
        <w:t xml:space="preserve"> </w:t>
      </w:r>
      <w:r w:rsidR="00F567EF" w:rsidRPr="00EE1400">
        <w:rPr>
          <w:rFonts w:cstheme="minorHAnsi"/>
        </w:rPr>
        <w:t xml:space="preserve">(median PFS 26·5 months [95% CI 23·7–33·8] vs 21·3 months [18·0–24·7]; hazard ratio 0·72, 95% CI 0·58–0·89; p=0·0023). </w:t>
      </w:r>
      <w:r w:rsidRPr="006E5B65">
        <w:rPr>
          <w:rFonts w:cstheme="minorHAnsi"/>
        </w:rPr>
        <w:t xml:space="preserve">The PFS benefit with </w:t>
      </w:r>
      <w:proofErr w:type="spellStart"/>
      <w:r w:rsidRPr="006E5B65">
        <w:rPr>
          <w:rFonts w:cstheme="minorHAnsi"/>
        </w:rPr>
        <w:t>ixazomib</w:t>
      </w:r>
      <w:proofErr w:type="spellEnd"/>
      <w:r w:rsidRPr="006E5B65">
        <w:rPr>
          <w:rFonts w:cstheme="minorHAnsi"/>
        </w:rPr>
        <w:t xml:space="preserve"> was consistent in patients with poorer prognosis, including ISS stage III disease and presence of high-risk cytogenetics</w:t>
      </w:r>
      <w:r w:rsidR="00FF34B9" w:rsidRPr="006E5B65">
        <w:rPr>
          <w:rFonts w:cstheme="minorHAnsi"/>
        </w:rPr>
        <w:t xml:space="preserve"> </w:t>
      </w:r>
      <w:r w:rsidRPr="006E5B65">
        <w:rPr>
          <w:rFonts w:cstheme="minorHAnsi"/>
        </w:rPr>
        <w:t>(</w:t>
      </w:r>
      <w:r w:rsidR="00FB59C0" w:rsidRPr="006E5B65">
        <w:rPr>
          <w:rFonts w:cstheme="minorHAnsi"/>
        </w:rPr>
        <w:t>17</w:t>
      </w:r>
      <w:r w:rsidRPr="006E5B65">
        <w:rPr>
          <w:rFonts w:cstheme="minorHAnsi"/>
        </w:rPr>
        <w:t>).</w:t>
      </w:r>
    </w:p>
    <w:p w14:paraId="4C462755" w14:textId="393E7839" w:rsidR="00786EED" w:rsidRPr="006E5B65" w:rsidRDefault="00786EED" w:rsidP="00EE1400">
      <w:pPr>
        <w:spacing w:before="100" w:beforeAutospacing="1" w:after="100" w:afterAutospacing="1" w:line="240" w:lineRule="auto"/>
        <w:rPr>
          <w:rFonts w:cstheme="minorHAnsi"/>
        </w:rPr>
      </w:pPr>
      <w:r w:rsidRPr="006E5B65">
        <w:rPr>
          <w:rFonts w:cstheme="minorHAnsi"/>
        </w:rPr>
        <w:t>Currently</w:t>
      </w:r>
      <w:r w:rsidR="009104C3" w:rsidRPr="006E5B65">
        <w:rPr>
          <w:rFonts w:cstheme="minorHAnsi"/>
        </w:rPr>
        <w:t>,</w:t>
      </w:r>
      <w:r w:rsidRPr="006E5B65">
        <w:rPr>
          <w:rFonts w:cstheme="minorHAnsi"/>
        </w:rPr>
        <w:t xml:space="preserve"> data validating the effects of</w:t>
      </w:r>
      <w:r w:rsidR="00FF34B9" w:rsidRPr="006E5B65">
        <w:rPr>
          <w:rFonts w:cstheme="minorHAnsi"/>
        </w:rPr>
        <w:t xml:space="preserve"> tandem ASCT and</w:t>
      </w:r>
      <w:r w:rsidRPr="006E5B65">
        <w:rPr>
          <w:rFonts w:cstheme="minorHAnsi"/>
        </w:rPr>
        <w:t xml:space="preserve"> maintenance treatment in the real world setting in patients with high risk features is s</w:t>
      </w:r>
      <w:r w:rsidR="009104C3" w:rsidRPr="006E5B65">
        <w:rPr>
          <w:rFonts w:cstheme="minorHAnsi"/>
        </w:rPr>
        <w:t>c</w:t>
      </w:r>
      <w:r w:rsidRPr="006E5B65">
        <w:rPr>
          <w:rFonts w:cstheme="minorHAnsi"/>
        </w:rPr>
        <w:t>ar</w:t>
      </w:r>
      <w:r w:rsidR="009104C3" w:rsidRPr="006E5B65">
        <w:rPr>
          <w:rFonts w:cstheme="minorHAnsi"/>
        </w:rPr>
        <w:t>c</w:t>
      </w:r>
      <w:r w:rsidRPr="006E5B65">
        <w:rPr>
          <w:rFonts w:cstheme="minorHAnsi"/>
        </w:rPr>
        <w:t>e. To address th</w:t>
      </w:r>
      <w:r w:rsidR="00FD61F8" w:rsidRPr="006E5B65">
        <w:rPr>
          <w:rFonts w:cstheme="minorHAnsi"/>
        </w:rPr>
        <w:t>is</w:t>
      </w:r>
      <w:r w:rsidRPr="006E5B65">
        <w:rPr>
          <w:rFonts w:cstheme="minorHAnsi"/>
        </w:rPr>
        <w:t xml:space="preserve"> knowledge gap</w:t>
      </w:r>
      <w:r w:rsidR="00FF34B9" w:rsidRPr="006E5B65">
        <w:rPr>
          <w:rFonts w:cstheme="minorHAnsi"/>
        </w:rPr>
        <w:t xml:space="preserve">, we sought to </w:t>
      </w:r>
      <w:r w:rsidR="00FD61F8" w:rsidRPr="006E5B65">
        <w:rPr>
          <w:rFonts w:cstheme="minorHAnsi"/>
        </w:rPr>
        <w:t>conduct</w:t>
      </w:r>
      <w:r w:rsidR="00FF34B9" w:rsidRPr="006E5B65">
        <w:rPr>
          <w:rFonts w:cstheme="minorHAnsi"/>
        </w:rPr>
        <w:t xml:space="preserve"> </w:t>
      </w:r>
      <w:r w:rsidRPr="006E5B65">
        <w:rPr>
          <w:rFonts w:cstheme="minorHAnsi"/>
        </w:rPr>
        <w:t>a retrospective</w:t>
      </w:r>
      <w:r w:rsidR="001776C7" w:rsidRPr="006E5B65">
        <w:rPr>
          <w:rFonts w:cstheme="minorHAnsi"/>
        </w:rPr>
        <w:t xml:space="preserve"> cohort</w:t>
      </w:r>
      <w:r w:rsidRPr="006E5B65">
        <w:rPr>
          <w:rFonts w:cstheme="minorHAnsi"/>
        </w:rPr>
        <w:t xml:space="preserve"> study </w:t>
      </w:r>
      <w:r w:rsidR="003D17FE" w:rsidRPr="006E5B65">
        <w:rPr>
          <w:rFonts w:cstheme="minorHAnsi"/>
        </w:rPr>
        <w:t>of all evaluable</w:t>
      </w:r>
      <w:r w:rsidR="001776C7" w:rsidRPr="006E5B65">
        <w:rPr>
          <w:rFonts w:cstheme="minorHAnsi"/>
        </w:rPr>
        <w:t xml:space="preserve"> </w:t>
      </w:r>
      <w:r w:rsidR="00FF34B9" w:rsidRPr="006E5B65">
        <w:rPr>
          <w:rFonts w:cstheme="minorHAnsi"/>
        </w:rPr>
        <w:t>t</w:t>
      </w:r>
      <w:r w:rsidR="003D17FE" w:rsidRPr="006E5B65">
        <w:rPr>
          <w:rFonts w:cstheme="minorHAnsi"/>
        </w:rPr>
        <w:t xml:space="preserve">ransplant eligible (TE) </w:t>
      </w:r>
      <w:r w:rsidR="001776C7" w:rsidRPr="006E5B65">
        <w:rPr>
          <w:rFonts w:cstheme="minorHAnsi"/>
        </w:rPr>
        <w:t>NDMM</w:t>
      </w:r>
      <w:r w:rsidRPr="006E5B65">
        <w:rPr>
          <w:rFonts w:cstheme="minorHAnsi"/>
        </w:rPr>
        <w:t xml:space="preserve"> patients </w:t>
      </w:r>
      <w:r w:rsidR="003D17FE" w:rsidRPr="006E5B65">
        <w:rPr>
          <w:rFonts w:cstheme="minorHAnsi"/>
        </w:rPr>
        <w:t xml:space="preserve">followed at the London </w:t>
      </w:r>
      <w:r w:rsidR="00FF34B9" w:rsidRPr="006E5B65">
        <w:rPr>
          <w:rFonts w:cstheme="minorHAnsi"/>
        </w:rPr>
        <w:t>R</w:t>
      </w:r>
      <w:r w:rsidR="003D17FE" w:rsidRPr="006E5B65">
        <w:rPr>
          <w:rFonts w:cstheme="minorHAnsi"/>
        </w:rPr>
        <w:t xml:space="preserve">egional </w:t>
      </w:r>
      <w:r w:rsidR="00FF34B9" w:rsidRPr="006E5B65">
        <w:rPr>
          <w:rFonts w:cstheme="minorHAnsi"/>
        </w:rPr>
        <w:t>C</w:t>
      </w:r>
      <w:r w:rsidR="003D17FE" w:rsidRPr="006E5B65">
        <w:rPr>
          <w:rFonts w:cstheme="minorHAnsi"/>
        </w:rPr>
        <w:t xml:space="preserve">ancer </w:t>
      </w:r>
      <w:r w:rsidR="00024D76" w:rsidRPr="006E5B65">
        <w:rPr>
          <w:rFonts w:cstheme="minorHAnsi"/>
        </w:rPr>
        <w:t>Program (LRCP)</w:t>
      </w:r>
      <w:r w:rsidR="003D17FE" w:rsidRPr="006E5B65">
        <w:rPr>
          <w:rFonts w:cstheme="minorHAnsi"/>
        </w:rPr>
        <w:t xml:space="preserve"> in London, Canada to </w:t>
      </w:r>
      <w:r w:rsidR="00FD61F8" w:rsidRPr="006E5B65">
        <w:rPr>
          <w:rFonts w:cstheme="minorHAnsi"/>
        </w:rPr>
        <w:t>assess</w:t>
      </w:r>
      <w:r w:rsidR="003D17FE" w:rsidRPr="006E5B65">
        <w:rPr>
          <w:rFonts w:cstheme="minorHAnsi"/>
        </w:rPr>
        <w:t xml:space="preserve"> the impact of</w:t>
      </w:r>
      <w:r w:rsidR="00FF34B9" w:rsidRPr="006E5B65">
        <w:rPr>
          <w:rFonts w:cstheme="minorHAnsi"/>
        </w:rPr>
        <w:t xml:space="preserve"> tandem ASCT </w:t>
      </w:r>
      <w:proofErr w:type="gramStart"/>
      <w:r w:rsidR="00FF34B9" w:rsidRPr="006E5B65">
        <w:rPr>
          <w:rFonts w:cstheme="minorHAnsi"/>
        </w:rPr>
        <w:t xml:space="preserve">and </w:t>
      </w:r>
      <w:r w:rsidR="003D17FE" w:rsidRPr="006E5B65">
        <w:rPr>
          <w:rFonts w:cstheme="minorHAnsi"/>
        </w:rPr>
        <w:t xml:space="preserve"> </w:t>
      </w:r>
      <w:r w:rsidR="00415134" w:rsidRPr="006E5B65">
        <w:rPr>
          <w:rFonts w:cstheme="minorHAnsi"/>
        </w:rPr>
        <w:t>the</w:t>
      </w:r>
      <w:proofErr w:type="gramEnd"/>
      <w:r w:rsidR="00415134" w:rsidRPr="006E5B65">
        <w:rPr>
          <w:rFonts w:cstheme="minorHAnsi"/>
        </w:rPr>
        <w:t xml:space="preserve"> various potential </w:t>
      </w:r>
      <w:r w:rsidR="003D17FE" w:rsidRPr="006E5B65">
        <w:rPr>
          <w:rFonts w:cstheme="minorHAnsi"/>
        </w:rPr>
        <w:t>maintenance strategies on long-term outcomes</w:t>
      </w:r>
      <w:r w:rsidR="00415134" w:rsidRPr="006E5B65">
        <w:rPr>
          <w:rFonts w:cstheme="minorHAnsi"/>
        </w:rPr>
        <w:t xml:space="preserve"> of patient</w:t>
      </w:r>
      <w:r w:rsidR="00DD5880">
        <w:rPr>
          <w:rFonts w:cstheme="minorHAnsi"/>
        </w:rPr>
        <w:t>s</w:t>
      </w:r>
      <w:r w:rsidR="00415134" w:rsidRPr="006E5B65">
        <w:rPr>
          <w:rFonts w:cstheme="minorHAnsi"/>
        </w:rPr>
        <w:t xml:space="preserve"> with high risk </w:t>
      </w:r>
      <w:r w:rsidR="008034A3" w:rsidRPr="006E5B65">
        <w:rPr>
          <w:rFonts w:cstheme="minorHAnsi"/>
        </w:rPr>
        <w:t>MM</w:t>
      </w:r>
      <w:r w:rsidR="00FD61F8" w:rsidRPr="006E5B65">
        <w:rPr>
          <w:rFonts w:cstheme="minorHAnsi"/>
        </w:rPr>
        <w:t>.</w:t>
      </w:r>
      <w:r w:rsidRPr="006E5B65">
        <w:rPr>
          <w:rFonts w:cstheme="minorHAnsi"/>
        </w:rPr>
        <w:t xml:space="preserve"> </w:t>
      </w:r>
    </w:p>
    <w:p w14:paraId="07217B50" w14:textId="77777777" w:rsidR="001776C7" w:rsidRPr="006E5B65" w:rsidRDefault="001776C7" w:rsidP="00EE1400">
      <w:pPr>
        <w:spacing w:before="100" w:beforeAutospacing="1" w:after="100" w:afterAutospacing="1" w:line="240" w:lineRule="auto"/>
        <w:rPr>
          <w:rFonts w:cstheme="minorHAnsi"/>
          <w:b/>
          <w:bCs/>
          <w:u w:val="single"/>
        </w:rPr>
      </w:pPr>
      <w:r w:rsidRPr="006E5B65">
        <w:rPr>
          <w:rFonts w:cstheme="minorHAnsi"/>
          <w:b/>
          <w:bCs/>
          <w:u w:val="single"/>
        </w:rPr>
        <w:t>Research Question</w:t>
      </w:r>
    </w:p>
    <w:p w14:paraId="2A845919" w14:textId="3F7274CE" w:rsidR="00801576" w:rsidRPr="00EE1400" w:rsidRDefault="00801576" w:rsidP="00EE1400">
      <w:pPr>
        <w:spacing w:before="100" w:beforeAutospacing="1" w:after="100" w:afterAutospacing="1" w:line="240" w:lineRule="auto"/>
        <w:rPr>
          <w:rFonts w:cstheme="minorHAnsi"/>
          <w:bCs/>
          <w:iCs/>
        </w:rPr>
      </w:pPr>
      <w:r w:rsidRPr="00EE1400">
        <w:rPr>
          <w:rFonts w:cstheme="minorHAnsi"/>
          <w:bCs/>
          <w:iCs/>
        </w:rPr>
        <w:t>Do</w:t>
      </w:r>
      <w:r w:rsidR="00415134" w:rsidRPr="00EE1400">
        <w:rPr>
          <w:rFonts w:cstheme="minorHAnsi"/>
          <w:bCs/>
          <w:iCs/>
        </w:rPr>
        <w:t>es</w:t>
      </w:r>
      <w:r w:rsidRPr="00EE1400">
        <w:rPr>
          <w:rFonts w:cstheme="minorHAnsi"/>
          <w:bCs/>
          <w:iCs/>
        </w:rPr>
        <w:t xml:space="preserve"> </w:t>
      </w:r>
      <w:r w:rsidR="003D17FE" w:rsidRPr="00EE1400">
        <w:rPr>
          <w:rFonts w:cstheme="minorHAnsi"/>
          <w:bCs/>
          <w:iCs/>
        </w:rPr>
        <w:t>dual maintenance strategy with a Pi and lenalidomide positively impact on long-term outcomes of patients with high risk MM</w:t>
      </w:r>
      <w:r w:rsidR="00E85361" w:rsidRPr="00EE1400">
        <w:rPr>
          <w:rFonts w:cstheme="minorHAnsi"/>
          <w:bCs/>
          <w:iCs/>
        </w:rPr>
        <w:t xml:space="preserve"> post-ASCT</w:t>
      </w:r>
      <w:r w:rsidR="003D17FE" w:rsidRPr="00EE1400">
        <w:rPr>
          <w:rFonts w:cstheme="minorHAnsi"/>
          <w:bCs/>
          <w:iCs/>
        </w:rPr>
        <w:t>?</w:t>
      </w:r>
    </w:p>
    <w:p w14:paraId="325ACDEE" w14:textId="094F8064" w:rsidR="001776C7" w:rsidRPr="006E5B65" w:rsidRDefault="001776C7" w:rsidP="00EE1400">
      <w:pPr>
        <w:spacing w:before="100" w:beforeAutospacing="1" w:after="100" w:afterAutospacing="1" w:line="240" w:lineRule="auto"/>
        <w:rPr>
          <w:rFonts w:cstheme="minorHAnsi"/>
          <w:b/>
          <w:bCs/>
          <w:u w:val="single"/>
        </w:rPr>
      </w:pPr>
      <w:r w:rsidRPr="006E5B65">
        <w:rPr>
          <w:rFonts w:cstheme="minorHAnsi"/>
          <w:b/>
          <w:bCs/>
          <w:u w:val="single"/>
        </w:rPr>
        <w:t>Hypothesis</w:t>
      </w:r>
      <w:r w:rsidR="003C5409" w:rsidRPr="006E5B65">
        <w:rPr>
          <w:rFonts w:cstheme="minorHAnsi"/>
          <w:b/>
          <w:bCs/>
          <w:u w:val="single"/>
        </w:rPr>
        <w:t xml:space="preserve"> </w:t>
      </w:r>
    </w:p>
    <w:p w14:paraId="249A4A72" w14:textId="7008FC39" w:rsidR="006879A0" w:rsidRPr="00EE1400" w:rsidRDefault="006879A0" w:rsidP="00EE1400">
      <w:pPr>
        <w:spacing w:before="100" w:beforeAutospacing="1" w:after="100" w:afterAutospacing="1" w:line="240" w:lineRule="auto"/>
        <w:rPr>
          <w:rFonts w:cstheme="minorHAnsi"/>
          <w:bCs/>
        </w:rPr>
      </w:pPr>
      <w:r w:rsidRPr="00EE1400">
        <w:rPr>
          <w:rFonts w:cstheme="minorHAnsi"/>
          <w:bCs/>
        </w:rPr>
        <w:t>We hypothesize that patient</w:t>
      </w:r>
      <w:r w:rsidR="00F43496" w:rsidRPr="006E5B65">
        <w:rPr>
          <w:rFonts w:cstheme="minorHAnsi"/>
          <w:bCs/>
        </w:rPr>
        <w:t>s</w:t>
      </w:r>
      <w:r w:rsidRPr="00EE1400">
        <w:rPr>
          <w:rFonts w:cstheme="minorHAnsi"/>
          <w:bCs/>
        </w:rPr>
        <w:t xml:space="preserve"> on dual maintenance therapy </w:t>
      </w:r>
      <w:r w:rsidR="00E85361" w:rsidRPr="006E5B65">
        <w:rPr>
          <w:rFonts w:cstheme="minorHAnsi"/>
          <w:bCs/>
        </w:rPr>
        <w:t xml:space="preserve">post- ASCT </w:t>
      </w:r>
      <w:r w:rsidRPr="00EE1400">
        <w:rPr>
          <w:rFonts w:cstheme="minorHAnsi"/>
          <w:bCs/>
        </w:rPr>
        <w:t xml:space="preserve">have improved PFS compared to patients on single </w:t>
      </w:r>
      <w:r w:rsidR="00785EDD" w:rsidRPr="006E5B65">
        <w:rPr>
          <w:rFonts w:cstheme="minorHAnsi"/>
          <w:bCs/>
        </w:rPr>
        <w:t xml:space="preserve">agent </w:t>
      </w:r>
      <w:r w:rsidRPr="00EE1400">
        <w:rPr>
          <w:rFonts w:cstheme="minorHAnsi"/>
          <w:bCs/>
        </w:rPr>
        <w:t>or no maintenance therapy</w:t>
      </w:r>
    </w:p>
    <w:p w14:paraId="29F20095" w14:textId="45595AEB" w:rsidR="00361A52" w:rsidRPr="006E5B65" w:rsidRDefault="00361A52" w:rsidP="00EE1400">
      <w:pPr>
        <w:spacing w:before="100" w:beforeAutospacing="1" w:after="100" w:afterAutospacing="1" w:line="240" w:lineRule="auto"/>
        <w:rPr>
          <w:rFonts w:cstheme="minorHAnsi"/>
          <w:b/>
          <w:bCs/>
          <w:u w:val="single"/>
        </w:rPr>
      </w:pPr>
      <w:r w:rsidRPr="006E5B65">
        <w:rPr>
          <w:rFonts w:cstheme="minorHAnsi"/>
          <w:b/>
          <w:bCs/>
          <w:u w:val="single"/>
        </w:rPr>
        <w:t xml:space="preserve">Study Design and Methodology:   </w:t>
      </w:r>
    </w:p>
    <w:p w14:paraId="1DC6E286" w14:textId="65163D50" w:rsidR="00A35FB3" w:rsidRPr="006E5B65" w:rsidRDefault="00FD2FCC" w:rsidP="00EE1400">
      <w:pPr>
        <w:spacing w:before="100" w:beforeAutospacing="1" w:after="100" w:afterAutospacing="1" w:line="240" w:lineRule="auto"/>
        <w:rPr>
          <w:rFonts w:cstheme="minorHAnsi"/>
        </w:rPr>
      </w:pPr>
      <w:r w:rsidRPr="00EE1400">
        <w:rPr>
          <w:rFonts w:cstheme="minorHAnsi"/>
          <w:bCs/>
        </w:rPr>
        <w:t>This is a single centre retrospective cohort study of NDMM patients</w:t>
      </w:r>
      <w:r w:rsidRPr="006E5B65">
        <w:rPr>
          <w:rFonts w:cstheme="minorHAnsi"/>
          <w:bCs/>
        </w:rPr>
        <w:t xml:space="preserve"> followed at the LRCP in London, Canada from </w:t>
      </w:r>
      <w:r w:rsidR="00E85361" w:rsidRPr="006E5B65">
        <w:rPr>
          <w:rFonts w:cstheme="minorHAnsi"/>
          <w:bCs/>
        </w:rPr>
        <w:t xml:space="preserve">January </w:t>
      </w:r>
      <w:r w:rsidRPr="006E5B65">
        <w:rPr>
          <w:rFonts w:cstheme="minorHAnsi"/>
          <w:bCs/>
        </w:rPr>
        <w:t>2007 to January 202</w:t>
      </w:r>
      <w:r w:rsidR="00832B30" w:rsidRPr="006E5B65">
        <w:rPr>
          <w:rFonts w:cstheme="minorHAnsi"/>
          <w:bCs/>
        </w:rPr>
        <w:t>1</w:t>
      </w:r>
      <w:r w:rsidRPr="006E5B65">
        <w:rPr>
          <w:rFonts w:cstheme="minorHAnsi"/>
          <w:bCs/>
        </w:rPr>
        <w:t xml:space="preserve">. Data collection will be retrieved </w:t>
      </w:r>
      <w:r w:rsidR="00E85361" w:rsidRPr="006E5B65">
        <w:rPr>
          <w:rFonts w:cstheme="minorHAnsi"/>
          <w:bCs/>
        </w:rPr>
        <w:t>using</w:t>
      </w:r>
      <w:r w:rsidRPr="006E5B65">
        <w:rPr>
          <w:rFonts w:cstheme="minorHAnsi"/>
          <w:bCs/>
        </w:rPr>
        <w:t xml:space="preserve"> our local multiple myeloma database with de-identified data. This study will be assessed and approved by our local research ethics board. W</w:t>
      </w:r>
      <w:r w:rsidR="00072728" w:rsidRPr="006E5B65">
        <w:rPr>
          <w:rFonts w:cstheme="minorHAnsi"/>
          <w:bCs/>
        </w:rPr>
        <w:t>e</w:t>
      </w:r>
      <w:r w:rsidRPr="006E5B65">
        <w:rPr>
          <w:rFonts w:cstheme="minorHAnsi"/>
          <w:bCs/>
        </w:rPr>
        <w:t xml:space="preserve"> will collect data pertaining to all patients who </w:t>
      </w:r>
      <w:r w:rsidR="00072728" w:rsidRPr="006E5B65">
        <w:rPr>
          <w:rFonts w:cstheme="minorHAnsi"/>
          <w:bCs/>
        </w:rPr>
        <w:t>received at</w:t>
      </w:r>
      <w:r w:rsidRPr="006E5B65">
        <w:rPr>
          <w:rFonts w:cstheme="minorHAnsi"/>
          <w:bCs/>
        </w:rPr>
        <w:t xml:space="preserve"> least 1 ASCT, regardless of their cytogenetic status. Patients considered to have standard risk cytogenetics will serve as our comparator arm. However, our target population </w:t>
      </w:r>
      <w:r w:rsidR="00A02444" w:rsidRPr="006E5B65">
        <w:rPr>
          <w:rFonts w:cstheme="minorHAnsi"/>
          <w:bCs/>
        </w:rPr>
        <w:t xml:space="preserve">in the study </w:t>
      </w:r>
      <w:r w:rsidRPr="006E5B65">
        <w:rPr>
          <w:rFonts w:cstheme="minorHAnsi"/>
          <w:bCs/>
        </w:rPr>
        <w:t xml:space="preserve">is patients with high risk </w:t>
      </w:r>
      <w:r w:rsidR="00A02444" w:rsidRPr="006E5B65">
        <w:rPr>
          <w:rFonts w:cstheme="minorHAnsi"/>
          <w:bCs/>
        </w:rPr>
        <w:t>features</w:t>
      </w:r>
      <w:r w:rsidR="00793F37" w:rsidRPr="006E5B65">
        <w:rPr>
          <w:rFonts w:cstheme="minorHAnsi"/>
          <w:bCs/>
        </w:rPr>
        <w:t>.</w:t>
      </w:r>
    </w:p>
    <w:p w14:paraId="2C68319F" w14:textId="37180E90" w:rsidR="00A35FB3" w:rsidRPr="006E5B65" w:rsidRDefault="00A35FB3" w:rsidP="00EE1400">
      <w:pPr>
        <w:spacing w:before="100" w:beforeAutospacing="1" w:after="100" w:afterAutospacing="1" w:line="240" w:lineRule="auto"/>
        <w:rPr>
          <w:rFonts w:cstheme="minorHAnsi"/>
        </w:rPr>
      </w:pPr>
      <w:r w:rsidRPr="006E5B65">
        <w:rPr>
          <w:rFonts w:cstheme="minorHAnsi"/>
        </w:rPr>
        <w:t xml:space="preserve">Patients who meet the inclusion </w:t>
      </w:r>
      <w:r w:rsidR="00260792" w:rsidRPr="006E5B65">
        <w:rPr>
          <w:rFonts w:cstheme="minorHAnsi"/>
        </w:rPr>
        <w:t xml:space="preserve">criteria </w:t>
      </w:r>
      <w:r w:rsidRPr="006E5B65">
        <w:rPr>
          <w:rFonts w:cstheme="minorHAnsi"/>
        </w:rPr>
        <w:t xml:space="preserve">will be identified from the database and the following data will be collected: Baseline demographics including age, sex and medical history, date of MM diagnosis, type of multiple myeloma, presence of plasmacytoma or extramedullary disease, ISS and R-ISS staging, High risk cytogenetics type (FISH analysis); Treatment details: type of induction treatment, disease response prior and </w:t>
      </w:r>
      <w:r w:rsidRPr="00EE1400">
        <w:rPr>
          <w:rFonts w:cstheme="minorHAnsi"/>
          <w:color w:val="000000" w:themeColor="text1"/>
        </w:rPr>
        <w:t xml:space="preserve">post ASCT as detailed below, </w:t>
      </w:r>
      <w:r w:rsidRPr="006E5B65">
        <w:rPr>
          <w:rFonts w:cstheme="minorHAnsi"/>
        </w:rPr>
        <w:t xml:space="preserve">number of transplantation and dates, dose of conditioning regimen, date of initiation of maintenance treatment, type of maintenance treatment, dose of maintenance treatment at initiation, changes in the dose of maintenance treatment with reason, </w:t>
      </w:r>
      <w:r w:rsidRPr="00EE1400">
        <w:rPr>
          <w:rFonts w:cstheme="minorHAnsi"/>
        </w:rPr>
        <w:t xml:space="preserve">best/deepest response </w:t>
      </w:r>
      <w:r w:rsidRPr="006E5B65">
        <w:rPr>
          <w:rFonts w:cstheme="minorHAnsi"/>
        </w:rPr>
        <w:t xml:space="preserve">to maintenance treatment as specified below, Date of achieving best response to maintenance treatment, Date of disease relapse and type of relapse (biochemical versus clinical), treatment at the time of first relapse, time on second line therapy, in order to assess PFS2. Baseline blood work including CBC, Creatinine, calcium, LDH, albumin, beta 2 </w:t>
      </w:r>
      <w:proofErr w:type="spellStart"/>
      <w:r w:rsidRPr="006E5B65">
        <w:rPr>
          <w:rFonts w:cstheme="minorHAnsi"/>
        </w:rPr>
        <w:t>microglobulin</w:t>
      </w:r>
      <w:proofErr w:type="spellEnd"/>
      <w:r w:rsidRPr="006E5B65">
        <w:rPr>
          <w:rFonts w:cstheme="minorHAnsi"/>
        </w:rPr>
        <w:t xml:space="preserve">. </w:t>
      </w:r>
    </w:p>
    <w:p w14:paraId="5B6D5CB5" w14:textId="77777777" w:rsidR="00E243BC" w:rsidRPr="006E5B65" w:rsidRDefault="00E243BC" w:rsidP="006E5B65">
      <w:pPr>
        <w:pStyle w:val="NormalWeb"/>
        <w:rPr>
          <w:rFonts w:asciiTheme="minorHAnsi" w:hAnsiTheme="minorHAnsi" w:cstheme="minorHAnsi"/>
          <w:sz w:val="22"/>
          <w:szCs w:val="22"/>
        </w:rPr>
      </w:pPr>
      <w:r w:rsidRPr="006E5B65">
        <w:rPr>
          <w:rFonts w:asciiTheme="minorHAnsi" w:hAnsiTheme="minorHAnsi" w:cstheme="minorHAnsi"/>
          <w:sz w:val="22"/>
          <w:szCs w:val="22"/>
        </w:rPr>
        <w:t>As part of this endeavour, we will also perform a sub-study of ASCT to assess the impacts of single ASCT versus tandem ASCT in high risk patients. Our main objective in the sub-study is to understand if there is a significant difference in ORR and median PFS and OS for patients who undergo each one of the procedures. In addition, we will perform a sensitivity analysis of tandem ASCT versus single ASCT undergoing maintenance therapy with lenalidomide ± PI and evaluate the impact of ASCT type and maintenance type on PFS and OS.</w:t>
      </w:r>
    </w:p>
    <w:p w14:paraId="3FF868DB" w14:textId="77777777" w:rsidR="00E243BC" w:rsidRPr="006E5B65" w:rsidRDefault="00E243BC" w:rsidP="00EE1400">
      <w:pPr>
        <w:spacing w:before="100" w:beforeAutospacing="1" w:after="100" w:afterAutospacing="1" w:line="240" w:lineRule="auto"/>
        <w:rPr>
          <w:rFonts w:cstheme="minorHAnsi"/>
        </w:rPr>
      </w:pPr>
    </w:p>
    <w:p w14:paraId="2B16C4A5" w14:textId="77777777" w:rsidR="00E243BC" w:rsidRPr="006E5B65" w:rsidRDefault="00E243BC" w:rsidP="00EE1400">
      <w:pPr>
        <w:spacing w:before="100" w:beforeAutospacing="1" w:after="100" w:afterAutospacing="1" w:line="240" w:lineRule="auto"/>
        <w:rPr>
          <w:rFonts w:cstheme="minorHAnsi"/>
        </w:rPr>
      </w:pPr>
    </w:p>
    <w:p w14:paraId="09E4A18E" w14:textId="77777777" w:rsidR="006E5B65" w:rsidRDefault="006E5B65" w:rsidP="00EE1400">
      <w:pPr>
        <w:spacing w:before="100" w:beforeAutospacing="1" w:after="100" w:afterAutospacing="1" w:line="240" w:lineRule="auto"/>
        <w:rPr>
          <w:rFonts w:cstheme="minorHAnsi"/>
          <w:b/>
          <w:bCs/>
          <w:u w:val="single"/>
        </w:rPr>
      </w:pPr>
    </w:p>
    <w:p w14:paraId="3081F7DC" w14:textId="77777777" w:rsidR="00786EED" w:rsidRPr="006E5B65" w:rsidRDefault="00786EED" w:rsidP="00EE1400">
      <w:pPr>
        <w:spacing w:before="100" w:beforeAutospacing="1" w:after="100" w:afterAutospacing="1" w:line="240" w:lineRule="auto"/>
        <w:rPr>
          <w:rFonts w:cstheme="minorHAnsi"/>
          <w:b/>
          <w:bCs/>
          <w:u w:val="single"/>
        </w:rPr>
      </w:pPr>
      <w:r w:rsidRPr="006E5B65">
        <w:rPr>
          <w:rFonts w:cstheme="minorHAnsi"/>
          <w:b/>
          <w:bCs/>
          <w:u w:val="single"/>
        </w:rPr>
        <w:t xml:space="preserve">Study Objectives and outcomes </w:t>
      </w:r>
    </w:p>
    <w:p w14:paraId="050E7AA2" w14:textId="07DC4ED2" w:rsidR="00786EED" w:rsidRPr="006E5B65" w:rsidRDefault="00786EED" w:rsidP="00EE1400">
      <w:pPr>
        <w:spacing w:before="100" w:beforeAutospacing="1" w:after="100" w:afterAutospacing="1" w:line="240" w:lineRule="auto"/>
        <w:rPr>
          <w:rFonts w:cstheme="minorHAnsi"/>
        </w:rPr>
      </w:pPr>
      <w:r w:rsidRPr="006E5B65">
        <w:rPr>
          <w:rFonts w:cstheme="minorHAnsi"/>
          <w:i/>
          <w:iCs/>
        </w:rPr>
        <w:t>Primary objective</w:t>
      </w:r>
      <w:r w:rsidRPr="006E5B65">
        <w:rPr>
          <w:rFonts w:cstheme="minorHAnsi"/>
        </w:rPr>
        <w:t xml:space="preserve">: The primary objective of this study is to </w:t>
      </w:r>
      <w:r w:rsidR="00785EDD" w:rsidRPr="006E5B65">
        <w:rPr>
          <w:rFonts w:cstheme="minorHAnsi"/>
        </w:rPr>
        <w:t>compare</w:t>
      </w:r>
      <w:r w:rsidR="00415134" w:rsidRPr="006E5B65">
        <w:rPr>
          <w:rFonts w:cstheme="minorHAnsi"/>
        </w:rPr>
        <w:t xml:space="preserve"> the</w:t>
      </w:r>
      <w:r w:rsidR="00785EDD" w:rsidRPr="006E5B65">
        <w:rPr>
          <w:rFonts w:cstheme="minorHAnsi"/>
        </w:rPr>
        <w:t xml:space="preserve"> </w:t>
      </w:r>
      <w:r w:rsidR="00A02444" w:rsidRPr="006E5B65">
        <w:rPr>
          <w:rFonts w:cstheme="minorHAnsi"/>
        </w:rPr>
        <w:t>median</w:t>
      </w:r>
      <w:r w:rsidR="00785EDD" w:rsidRPr="006E5B65">
        <w:rPr>
          <w:rFonts w:cstheme="minorHAnsi"/>
        </w:rPr>
        <w:t xml:space="preserve"> PFS for patients with TE high risk multiple myeloma receiving </w:t>
      </w:r>
      <w:bookmarkStart w:id="0" w:name="_Hlk65147892"/>
      <w:r w:rsidRPr="006E5B65">
        <w:rPr>
          <w:rFonts w:cstheme="minorHAnsi"/>
        </w:rPr>
        <w:t xml:space="preserve">maintenance treatment </w:t>
      </w:r>
      <w:r w:rsidR="00785EDD" w:rsidRPr="006E5B65">
        <w:rPr>
          <w:rFonts w:cstheme="minorHAnsi"/>
        </w:rPr>
        <w:t xml:space="preserve">post ASCT </w:t>
      </w:r>
      <w:r w:rsidRPr="006E5B65">
        <w:rPr>
          <w:rFonts w:cstheme="minorHAnsi"/>
        </w:rPr>
        <w:t>with Lenalidomide</w:t>
      </w:r>
      <w:r w:rsidR="006D73CF" w:rsidRPr="006E5B65">
        <w:rPr>
          <w:rFonts w:cstheme="minorHAnsi"/>
        </w:rPr>
        <w:t xml:space="preserve"> +</w:t>
      </w:r>
      <w:r w:rsidR="007F5AF6" w:rsidRPr="006E5B65">
        <w:rPr>
          <w:rFonts w:cstheme="minorHAnsi"/>
        </w:rPr>
        <w:t xml:space="preserve"> </w:t>
      </w:r>
      <w:r w:rsidR="00785EDD" w:rsidRPr="006E5B65">
        <w:rPr>
          <w:rFonts w:cstheme="minorHAnsi"/>
        </w:rPr>
        <w:t>PI versus single agent maintenance/no maintenance.</w:t>
      </w:r>
      <w:r w:rsidRPr="006E5B65">
        <w:rPr>
          <w:rFonts w:cstheme="minorHAnsi"/>
        </w:rPr>
        <w:t xml:space="preserve"> </w:t>
      </w:r>
      <w:bookmarkEnd w:id="0"/>
    </w:p>
    <w:p w14:paraId="178345D0" w14:textId="23B588CE" w:rsidR="00786EED" w:rsidRPr="006E5B65" w:rsidRDefault="00786EED" w:rsidP="00EE1400">
      <w:pPr>
        <w:spacing w:before="100" w:beforeAutospacing="1" w:after="100" w:afterAutospacing="1" w:line="240" w:lineRule="auto"/>
        <w:rPr>
          <w:rFonts w:cstheme="minorHAnsi"/>
        </w:rPr>
      </w:pPr>
      <w:r w:rsidRPr="006E5B65">
        <w:rPr>
          <w:rFonts w:cstheme="minorHAnsi"/>
          <w:i/>
          <w:iCs/>
        </w:rPr>
        <w:t>Primary outcome</w:t>
      </w:r>
      <w:r w:rsidR="006D73CF" w:rsidRPr="006E5B65">
        <w:rPr>
          <w:rFonts w:cstheme="minorHAnsi"/>
          <w:i/>
          <w:iCs/>
        </w:rPr>
        <w:t xml:space="preserve"> measure</w:t>
      </w:r>
      <w:r w:rsidRPr="006E5B65">
        <w:rPr>
          <w:rFonts w:cstheme="minorHAnsi"/>
        </w:rPr>
        <w:t>: The primary outcome</w:t>
      </w:r>
      <w:r w:rsidR="00785EDD" w:rsidRPr="006E5B65">
        <w:rPr>
          <w:rFonts w:cstheme="minorHAnsi"/>
        </w:rPr>
        <w:t xml:space="preserve"> is the </w:t>
      </w:r>
      <w:r w:rsidR="00513D01" w:rsidRPr="006E5B65">
        <w:rPr>
          <w:rFonts w:cstheme="minorHAnsi"/>
        </w:rPr>
        <w:t>median</w:t>
      </w:r>
      <w:r w:rsidR="00785EDD" w:rsidRPr="006E5B65">
        <w:rPr>
          <w:rFonts w:cstheme="minorHAnsi"/>
        </w:rPr>
        <w:t xml:space="preserve"> </w:t>
      </w:r>
      <w:r w:rsidRPr="006E5B65">
        <w:rPr>
          <w:rFonts w:cstheme="minorHAnsi"/>
        </w:rPr>
        <w:t xml:space="preserve">PFS in </w:t>
      </w:r>
      <w:proofErr w:type="gramStart"/>
      <w:r w:rsidRPr="006E5B65">
        <w:rPr>
          <w:rFonts w:cstheme="minorHAnsi"/>
        </w:rPr>
        <w:t>high risk</w:t>
      </w:r>
      <w:proofErr w:type="gramEnd"/>
      <w:r w:rsidRPr="006E5B65">
        <w:rPr>
          <w:rFonts w:cstheme="minorHAnsi"/>
        </w:rPr>
        <w:t xml:space="preserve"> patients </w:t>
      </w:r>
      <w:r w:rsidR="00785EDD" w:rsidRPr="006E5B65">
        <w:rPr>
          <w:rFonts w:cstheme="minorHAnsi"/>
        </w:rPr>
        <w:t>post</w:t>
      </w:r>
      <w:r w:rsidR="00467A6C" w:rsidRPr="006E5B65">
        <w:rPr>
          <w:rFonts w:cstheme="minorHAnsi"/>
        </w:rPr>
        <w:t>-</w:t>
      </w:r>
      <w:r w:rsidR="00785EDD" w:rsidRPr="006E5B65">
        <w:rPr>
          <w:rFonts w:cstheme="minorHAnsi"/>
        </w:rPr>
        <w:t>ASCT receiving maintenance treatment with Lenalidomide</w:t>
      </w:r>
      <w:r w:rsidR="00467A6C" w:rsidRPr="006E5B65">
        <w:rPr>
          <w:rFonts w:cstheme="minorHAnsi"/>
        </w:rPr>
        <w:t xml:space="preserve"> +</w:t>
      </w:r>
      <w:r w:rsidR="00785EDD" w:rsidRPr="006E5B65">
        <w:rPr>
          <w:rFonts w:cstheme="minorHAnsi"/>
        </w:rPr>
        <w:t xml:space="preserve"> PI versus other strategies </w:t>
      </w:r>
      <w:r w:rsidR="00801576" w:rsidRPr="006E5B65">
        <w:rPr>
          <w:rFonts w:cstheme="minorHAnsi"/>
        </w:rPr>
        <w:t>(no</w:t>
      </w:r>
      <w:r w:rsidRPr="006E5B65">
        <w:rPr>
          <w:rFonts w:cstheme="minorHAnsi"/>
        </w:rPr>
        <w:t xml:space="preserve"> maintenance</w:t>
      </w:r>
      <w:r w:rsidR="00801576" w:rsidRPr="006E5B65">
        <w:rPr>
          <w:rFonts w:cstheme="minorHAnsi"/>
        </w:rPr>
        <w:t>, single agent</w:t>
      </w:r>
      <w:r w:rsidR="00467A6C" w:rsidRPr="006E5B65">
        <w:rPr>
          <w:rFonts w:cstheme="minorHAnsi"/>
        </w:rPr>
        <w:t xml:space="preserve"> maintenance</w:t>
      </w:r>
      <w:r w:rsidR="00801576" w:rsidRPr="006E5B65">
        <w:rPr>
          <w:rFonts w:cstheme="minorHAnsi"/>
        </w:rPr>
        <w:t>)</w:t>
      </w:r>
      <w:r w:rsidRPr="006E5B65">
        <w:rPr>
          <w:rFonts w:cstheme="minorHAnsi"/>
        </w:rPr>
        <w:t>.</w:t>
      </w:r>
    </w:p>
    <w:p w14:paraId="73D32766" w14:textId="064E119E" w:rsidR="00400447" w:rsidRPr="006E5B65" w:rsidRDefault="00786EED" w:rsidP="00EE1400">
      <w:pPr>
        <w:spacing w:before="100" w:beforeAutospacing="1" w:after="100" w:afterAutospacing="1" w:line="240" w:lineRule="auto"/>
        <w:rPr>
          <w:rFonts w:cstheme="minorHAnsi"/>
        </w:rPr>
      </w:pPr>
      <w:r w:rsidRPr="006E5B65">
        <w:rPr>
          <w:rFonts w:cstheme="minorHAnsi"/>
          <w:i/>
          <w:iCs/>
        </w:rPr>
        <w:t>Secondary objectives</w:t>
      </w:r>
      <w:r w:rsidRPr="006E5B65">
        <w:rPr>
          <w:rFonts w:cstheme="minorHAnsi"/>
        </w:rPr>
        <w:t>: The secondary objectives include evaluating the outcomes of lenalidomide maintenance with and without protease inhibitor, evaluating the outcomes of different doses of Lenalidomide maintenance</w:t>
      </w:r>
      <w:r w:rsidR="00625892" w:rsidRPr="006E5B65">
        <w:rPr>
          <w:rFonts w:cstheme="minorHAnsi"/>
        </w:rPr>
        <w:t xml:space="preserve"> and effects of tandem versus single ASCT </w:t>
      </w:r>
      <w:r w:rsidR="006D73CF" w:rsidRPr="006E5B65">
        <w:rPr>
          <w:rFonts w:cstheme="minorHAnsi"/>
        </w:rPr>
        <w:t>as detailed below:</w:t>
      </w:r>
    </w:p>
    <w:p w14:paraId="2174B3A2" w14:textId="63C7331E" w:rsidR="00400447" w:rsidRPr="006E5B65" w:rsidRDefault="00400447" w:rsidP="00EE1400">
      <w:pPr>
        <w:spacing w:before="100" w:beforeAutospacing="1" w:after="100" w:afterAutospacing="1" w:line="240" w:lineRule="auto"/>
        <w:rPr>
          <w:rFonts w:cstheme="minorHAnsi"/>
        </w:rPr>
      </w:pPr>
      <w:r w:rsidRPr="006E5B65">
        <w:rPr>
          <w:rFonts w:cstheme="minorHAnsi"/>
          <w:i/>
        </w:rPr>
        <w:t>i)</w:t>
      </w:r>
      <w:r w:rsidRPr="006E5B65">
        <w:rPr>
          <w:rFonts w:cstheme="minorHAnsi"/>
        </w:rPr>
        <w:t xml:space="preserve"> Median OS</w:t>
      </w:r>
    </w:p>
    <w:p w14:paraId="19AC179A" w14:textId="058C7C59" w:rsidR="00786EED" w:rsidRPr="00EE1400" w:rsidRDefault="006D73CF" w:rsidP="00EE1400">
      <w:pPr>
        <w:spacing w:before="100" w:beforeAutospacing="1" w:after="100" w:afterAutospacing="1" w:line="240" w:lineRule="auto"/>
        <w:rPr>
          <w:rFonts w:cstheme="minorHAnsi"/>
        </w:rPr>
      </w:pPr>
      <w:r w:rsidRPr="00EE1400">
        <w:rPr>
          <w:rFonts w:cstheme="minorHAnsi"/>
          <w:i/>
          <w:iCs/>
        </w:rPr>
        <w:t>i</w:t>
      </w:r>
      <w:r w:rsidR="00400447" w:rsidRPr="00EE1400">
        <w:rPr>
          <w:rFonts w:cstheme="minorHAnsi"/>
          <w:i/>
          <w:iCs/>
        </w:rPr>
        <w:t>i</w:t>
      </w:r>
      <w:r w:rsidRPr="00EE1400">
        <w:rPr>
          <w:rFonts w:cstheme="minorHAnsi"/>
          <w:i/>
          <w:iCs/>
        </w:rPr>
        <w:t>)</w:t>
      </w:r>
      <w:r w:rsidRPr="00EE1400">
        <w:rPr>
          <w:rFonts w:cstheme="minorHAnsi"/>
        </w:rPr>
        <w:t xml:space="preserve"> </w:t>
      </w:r>
      <w:r w:rsidR="00786EED" w:rsidRPr="00EE1400">
        <w:rPr>
          <w:rFonts w:cstheme="minorHAnsi"/>
        </w:rPr>
        <w:t xml:space="preserve">The ORR and depth of response based on international myeloma working group criteria (IMWG) in the </w:t>
      </w:r>
      <w:r w:rsidR="00785EDD" w:rsidRPr="00EE1400">
        <w:rPr>
          <w:rFonts w:cstheme="minorHAnsi"/>
        </w:rPr>
        <w:t>follow</w:t>
      </w:r>
      <w:r w:rsidR="00FD61F8" w:rsidRPr="00EE1400">
        <w:rPr>
          <w:rFonts w:cstheme="minorHAnsi"/>
        </w:rPr>
        <w:t>ing pre-specified periods</w:t>
      </w:r>
      <w:r w:rsidR="00785EDD" w:rsidRPr="00EE1400">
        <w:rPr>
          <w:rFonts w:cstheme="minorHAnsi"/>
        </w:rPr>
        <w:t>: Post induction, 1 to 3 months post ASCT</w:t>
      </w:r>
      <w:r w:rsidR="00FD61F8" w:rsidRPr="00EE1400">
        <w:rPr>
          <w:rFonts w:cstheme="minorHAnsi"/>
        </w:rPr>
        <w:t xml:space="preserve"> (if tandem, 1 to 3 months post tandem as well)</w:t>
      </w:r>
      <w:r w:rsidR="00785EDD" w:rsidRPr="00EE1400">
        <w:rPr>
          <w:rFonts w:cstheme="minorHAnsi"/>
        </w:rPr>
        <w:t xml:space="preserve">, 12 months post ASCT </w:t>
      </w:r>
      <w:r w:rsidR="00FD61F8" w:rsidRPr="00EE1400">
        <w:rPr>
          <w:rFonts w:cstheme="minorHAnsi"/>
        </w:rPr>
        <w:t>( for those who did not receive maintenance therapy); or 12 months after initiation of</w:t>
      </w:r>
      <w:r w:rsidR="00786EED" w:rsidRPr="00EE1400">
        <w:rPr>
          <w:rFonts w:cstheme="minorHAnsi"/>
        </w:rPr>
        <w:t xml:space="preserve"> maintenance </w:t>
      </w:r>
      <w:r w:rsidR="00FD61F8" w:rsidRPr="00EE1400">
        <w:rPr>
          <w:rFonts w:cstheme="minorHAnsi"/>
        </w:rPr>
        <w:t>therapy</w:t>
      </w:r>
      <w:r w:rsidR="00786EED" w:rsidRPr="00EE1400">
        <w:rPr>
          <w:rFonts w:cstheme="minorHAnsi"/>
        </w:rPr>
        <w:t xml:space="preserve">. </w:t>
      </w:r>
    </w:p>
    <w:p w14:paraId="7647CD94" w14:textId="7736B4FC" w:rsidR="00FD61F8" w:rsidRPr="006E5B65" w:rsidRDefault="006D73CF" w:rsidP="00EE1400">
      <w:pPr>
        <w:spacing w:before="100" w:beforeAutospacing="1" w:after="100" w:afterAutospacing="1" w:line="240" w:lineRule="auto"/>
        <w:rPr>
          <w:rFonts w:cstheme="minorHAnsi"/>
        </w:rPr>
      </w:pPr>
      <w:r w:rsidRPr="00EE1400">
        <w:rPr>
          <w:rFonts w:cstheme="minorHAnsi"/>
          <w:i/>
        </w:rPr>
        <w:t>ii</w:t>
      </w:r>
      <w:r w:rsidR="00400447" w:rsidRPr="006E5B65">
        <w:rPr>
          <w:rFonts w:cstheme="minorHAnsi"/>
          <w:i/>
        </w:rPr>
        <w:t>i</w:t>
      </w:r>
      <w:r w:rsidRPr="00EE1400">
        <w:rPr>
          <w:rFonts w:cstheme="minorHAnsi"/>
          <w:i/>
        </w:rPr>
        <w:t>)</w:t>
      </w:r>
      <w:r w:rsidRPr="00EE1400">
        <w:rPr>
          <w:rFonts w:cstheme="minorHAnsi"/>
        </w:rPr>
        <w:t xml:space="preserve"> S</w:t>
      </w:r>
      <w:r w:rsidR="00FD61F8" w:rsidRPr="006E5B65">
        <w:rPr>
          <w:rFonts w:cstheme="minorHAnsi"/>
        </w:rPr>
        <w:t xml:space="preserve">ubgroup analysis </w:t>
      </w:r>
      <w:r w:rsidR="00400447" w:rsidRPr="006E5B65">
        <w:rPr>
          <w:rFonts w:cstheme="minorHAnsi"/>
        </w:rPr>
        <w:t xml:space="preserve">to assess </w:t>
      </w:r>
      <w:r w:rsidR="00FD61F8" w:rsidRPr="006E5B65">
        <w:rPr>
          <w:rFonts w:cstheme="minorHAnsi"/>
        </w:rPr>
        <w:t>ORR</w:t>
      </w:r>
      <w:r w:rsidR="00400447" w:rsidRPr="006E5B65">
        <w:rPr>
          <w:rFonts w:cstheme="minorHAnsi"/>
        </w:rPr>
        <w:t>, median OS and median PFS</w:t>
      </w:r>
      <w:r w:rsidR="00513D01" w:rsidRPr="006E5B65">
        <w:rPr>
          <w:rFonts w:cstheme="minorHAnsi"/>
        </w:rPr>
        <w:t xml:space="preserve"> </w:t>
      </w:r>
      <w:r w:rsidR="00400447" w:rsidRPr="006E5B65">
        <w:rPr>
          <w:rFonts w:cstheme="minorHAnsi"/>
        </w:rPr>
        <w:t xml:space="preserve">in high risk patients according to their maintenance strategy. </w:t>
      </w:r>
    </w:p>
    <w:p w14:paraId="45BBE9D1" w14:textId="4CF81DEC" w:rsidR="00400447" w:rsidRPr="00EE1400" w:rsidRDefault="006D73CF" w:rsidP="00EE1400">
      <w:pPr>
        <w:spacing w:before="100" w:beforeAutospacing="1" w:after="100" w:afterAutospacing="1" w:line="240" w:lineRule="auto"/>
        <w:rPr>
          <w:rFonts w:cstheme="minorHAnsi"/>
        </w:rPr>
      </w:pPr>
      <w:r w:rsidRPr="00EE1400">
        <w:rPr>
          <w:rFonts w:cstheme="minorHAnsi"/>
          <w:i/>
        </w:rPr>
        <w:t>i</w:t>
      </w:r>
      <w:r w:rsidR="00400447" w:rsidRPr="006E5B65">
        <w:rPr>
          <w:rFonts w:cstheme="minorHAnsi"/>
          <w:i/>
        </w:rPr>
        <w:t>v</w:t>
      </w:r>
      <w:r w:rsidRPr="00EE1400">
        <w:rPr>
          <w:rFonts w:cstheme="minorHAnsi"/>
          <w:i/>
        </w:rPr>
        <w:t>)</w:t>
      </w:r>
      <w:r w:rsidRPr="00EE1400">
        <w:rPr>
          <w:rFonts w:cstheme="minorHAnsi"/>
        </w:rPr>
        <w:t xml:space="preserve"> </w:t>
      </w:r>
      <w:r w:rsidR="00A02444" w:rsidRPr="00EE1400">
        <w:rPr>
          <w:rFonts w:cstheme="minorHAnsi"/>
        </w:rPr>
        <w:t>To assess the median lenalidomide maintenance dose</w:t>
      </w:r>
    </w:p>
    <w:p w14:paraId="284E91E9" w14:textId="65A0CAB0" w:rsidR="00786EED" w:rsidRPr="00EE1400" w:rsidRDefault="006D73CF" w:rsidP="00EE1400">
      <w:pPr>
        <w:spacing w:before="100" w:beforeAutospacing="1" w:after="100" w:afterAutospacing="1" w:line="240" w:lineRule="auto"/>
        <w:rPr>
          <w:rFonts w:cstheme="minorHAnsi"/>
        </w:rPr>
      </w:pPr>
      <w:r w:rsidRPr="00EE1400">
        <w:rPr>
          <w:rFonts w:cstheme="minorHAnsi"/>
          <w:i/>
        </w:rPr>
        <w:t>v)</w:t>
      </w:r>
      <w:r w:rsidRPr="00EE1400">
        <w:rPr>
          <w:rFonts w:cstheme="minorHAnsi"/>
        </w:rPr>
        <w:t xml:space="preserve"> </w:t>
      </w:r>
      <w:r w:rsidR="00A02444" w:rsidRPr="00EE1400">
        <w:rPr>
          <w:rFonts w:cstheme="minorHAnsi"/>
        </w:rPr>
        <w:t xml:space="preserve">To assess the </w:t>
      </w:r>
      <w:r w:rsidR="00786EED" w:rsidRPr="00EE1400">
        <w:rPr>
          <w:rFonts w:cstheme="minorHAnsi"/>
        </w:rPr>
        <w:t>rate of lenalidomide dose reduction and discontinuation.</w:t>
      </w:r>
    </w:p>
    <w:p w14:paraId="69406F15" w14:textId="04A3C3D6" w:rsidR="00786EED" w:rsidRPr="00EE1400" w:rsidRDefault="006D73CF" w:rsidP="00EE1400">
      <w:pPr>
        <w:spacing w:before="100" w:beforeAutospacing="1" w:after="100" w:afterAutospacing="1" w:line="240" w:lineRule="auto"/>
        <w:rPr>
          <w:rFonts w:cstheme="minorHAnsi"/>
        </w:rPr>
      </w:pPr>
      <w:r w:rsidRPr="00EE1400">
        <w:rPr>
          <w:rFonts w:cstheme="minorHAnsi"/>
          <w:i/>
        </w:rPr>
        <w:t>vi)</w:t>
      </w:r>
      <w:r w:rsidR="009F566C" w:rsidRPr="006E5B65">
        <w:rPr>
          <w:rFonts w:cstheme="minorHAnsi"/>
        </w:rPr>
        <w:t xml:space="preserve"> </w:t>
      </w:r>
      <w:r w:rsidR="00400447" w:rsidRPr="006E5B65">
        <w:rPr>
          <w:rFonts w:cstheme="minorHAnsi"/>
        </w:rPr>
        <w:t xml:space="preserve">To assess </w:t>
      </w:r>
      <w:r w:rsidR="00A02444" w:rsidRPr="00EE1400">
        <w:rPr>
          <w:rFonts w:cstheme="minorHAnsi"/>
        </w:rPr>
        <w:t xml:space="preserve">Impact of lenalidomide maintenance treatment at full doses versus reduced doses in </w:t>
      </w:r>
      <w:r w:rsidR="00786EED" w:rsidRPr="00EE1400">
        <w:rPr>
          <w:rFonts w:cstheme="minorHAnsi"/>
        </w:rPr>
        <w:t>OS.</w:t>
      </w:r>
    </w:p>
    <w:p w14:paraId="018CB93E" w14:textId="199CA1D7" w:rsidR="006D73CF" w:rsidRPr="006E5B65" w:rsidRDefault="00C31594" w:rsidP="00EE1400">
      <w:pPr>
        <w:spacing w:before="100" w:beforeAutospacing="1" w:after="100" w:afterAutospacing="1" w:line="240" w:lineRule="auto"/>
        <w:rPr>
          <w:rFonts w:cstheme="minorHAnsi"/>
        </w:rPr>
      </w:pPr>
      <w:r w:rsidRPr="006E5B65">
        <w:rPr>
          <w:rFonts w:cstheme="minorHAnsi"/>
          <w:i/>
        </w:rPr>
        <w:t>vii</w:t>
      </w:r>
      <w:r w:rsidR="006D73CF" w:rsidRPr="00EE1400">
        <w:rPr>
          <w:rFonts w:cstheme="minorHAnsi"/>
          <w:i/>
        </w:rPr>
        <w:t xml:space="preserve">) </w:t>
      </w:r>
      <w:r w:rsidR="00266563" w:rsidRPr="00EE1400">
        <w:rPr>
          <w:rFonts w:cstheme="minorHAnsi"/>
          <w:iCs/>
        </w:rPr>
        <w:t>To assess</w:t>
      </w:r>
      <w:r w:rsidR="00266563" w:rsidRPr="006E5B65">
        <w:rPr>
          <w:rFonts w:cstheme="minorHAnsi"/>
          <w:i/>
        </w:rPr>
        <w:t xml:space="preserve"> </w:t>
      </w:r>
      <w:r w:rsidR="006D73CF" w:rsidRPr="00EE1400">
        <w:rPr>
          <w:rFonts w:cstheme="minorHAnsi"/>
        </w:rPr>
        <w:t>Impact of maintenance approach in PFS2</w:t>
      </w:r>
    </w:p>
    <w:p w14:paraId="2BD07717" w14:textId="2E468C63" w:rsidR="00C31594" w:rsidRPr="00EE1400" w:rsidRDefault="00C31594" w:rsidP="00EE1400">
      <w:pPr>
        <w:spacing w:before="100" w:beforeAutospacing="1" w:after="100" w:afterAutospacing="1" w:line="240" w:lineRule="auto"/>
        <w:rPr>
          <w:rFonts w:cstheme="minorHAnsi"/>
        </w:rPr>
      </w:pPr>
      <w:r w:rsidRPr="00EE1400">
        <w:rPr>
          <w:rFonts w:cstheme="minorHAnsi"/>
          <w:i/>
          <w:iCs/>
        </w:rPr>
        <w:t>viii)</w:t>
      </w:r>
      <w:r w:rsidRPr="006E5B65">
        <w:rPr>
          <w:rFonts w:cstheme="minorHAnsi"/>
        </w:rPr>
        <w:t xml:space="preserve"> To assess impact of single versus tandem ASCT on </w:t>
      </w:r>
      <w:r w:rsidR="00683378" w:rsidRPr="006E5B65">
        <w:rPr>
          <w:rFonts w:cstheme="minorHAnsi"/>
        </w:rPr>
        <w:t xml:space="preserve">ORR, </w:t>
      </w:r>
      <w:r w:rsidRPr="006E5B65">
        <w:rPr>
          <w:rFonts w:cstheme="minorHAnsi"/>
        </w:rPr>
        <w:t>PFS and OS in patients with high risk multiple myeloma.</w:t>
      </w:r>
    </w:p>
    <w:p w14:paraId="5BECF6BB" w14:textId="77777777" w:rsidR="00786EED" w:rsidRPr="006E5B65" w:rsidRDefault="00786EED" w:rsidP="00EE1400">
      <w:pPr>
        <w:spacing w:before="100" w:beforeAutospacing="1" w:after="100" w:afterAutospacing="1" w:line="240" w:lineRule="auto"/>
        <w:rPr>
          <w:rFonts w:cstheme="minorHAnsi"/>
          <w:b/>
          <w:bCs/>
          <w:u w:val="single"/>
        </w:rPr>
      </w:pPr>
      <w:r w:rsidRPr="006E5B65">
        <w:rPr>
          <w:rFonts w:cstheme="minorHAnsi"/>
          <w:b/>
          <w:bCs/>
          <w:u w:val="single"/>
        </w:rPr>
        <w:t>Inclusion and Exclusion Criteria and description of study patients:</w:t>
      </w:r>
    </w:p>
    <w:p w14:paraId="2CC24C89" w14:textId="77777777" w:rsidR="00786EED" w:rsidRPr="006E5B65" w:rsidRDefault="00786EED" w:rsidP="00EE1400">
      <w:pPr>
        <w:spacing w:before="100" w:beforeAutospacing="1" w:after="100" w:afterAutospacing="1" w:line="240" w:lineRule="auto"/>
        <w:rPr>
          <w:rFonts w:cstheme="minorHAnsi"/>
          <w:i/>
          <w:iCs/>
        </w:rPr>
      </w:pPr>
      <w:r w:rsidRPr="006E5B65">
        <w:rPr>
          <w:rFonts w:cstheme="minorHAnsi"/>
          <w:i/>
          <w:iCs/>
        </w:rPr>
        <w:t xml:space="preserve">Inclusion Criteria: </w:t>
      </w:r>
    </w:p>
    <w:p w14:paraId="34FEED20" w14:textId="4338154C" w:rsidR="00786EED" w:rsidRPr="006E5B65" w:rsidRDefault="00786EED" w:rsidP="00EE1400">
      <w:pPr>
        <w:spacing w:before="100" w:beforeAutospacing="1" w:after="100" w:afterAutospacing="1" w:line="240" w:lineRule="auto"/>
        <w:rPr>
          <w:rFonts w:cstheme="minorHAnsi"/>
        </w:rPr>
      </w:pPr>
      <w:r w:rsidRPr="006E5B65">
        <w:rPr>
          <w:rFonts w:cstheme="minorHAnsi"/>
        </w:rPr>
        <w:t xml:space="preserve">-We will include all patients </w:t>
      </w:r>
      <w:r w:rsidRPr="006E5B65">
        <w:rPr>
          <w:rFonts w:cstheme="minorHAnsi"/>
          <w:color w:val="000000" w:themeColor="text1"/>
        </w:rPr>
        <w:t xml:space="preserve">≥18 years old </w:t>
      </w:r>
      <w:r w:rsidRPr="006E5B65">
        <w:rPr>
          <w:rFonts w:cstheme="minorHAnsi"/>
        </w:rPr>
        <w:t xml:space="preserve">diagnosed with Multiple myeloma based on the IMWG criteria with </w:t>
      </w:r>
      <w:proofErr w:type="gramStart"/>
      <w:r w:rsidRPr="006E5B65">
        <w:rPr>
          <w:rFonts w:cstheme="minorHAnsi"/>
        </w:rPr>
        <w:t>high risk</w:t>
      </w:r>
      <w:proofErr w:type="gramEnd"/>
      <w:r w:rsidRPr="006E5B65">
        <w:rPr>
          <w:rFonts w:cstheme="minorHAnsi"/>
        </w:rPr>
        <w:t xml:space="preserve"> </w:t>
      </w:r>
      <w:r w:rsidR="00C95EFD" w:rsidRPr="006E5B65">
        <w:rPr>
          <w:rFonts w:cstheme="minorHAnsi"/>
        </w:rPr>
        <w:t>disease</w:t>
      </w:r>
      <w:r w:rsidRPr="006E5B65">
        <w:rPr>
          <w:rFonts w:cstheme="minorHAnsi"/>
        </w:rPr>
        <w:t>, who were treated with upfront induction followed by ASCT</w:t>
      </w:r>
      <w:r w:rsidR="00D15544" w:rsidRPr="006E5B65">
        <w:rPr>
          <w:rFonts w:cstheme="minorHAnsi"/>
        </w:rPr>
        <w:t xml:space="preserve"> (single or tandem) </w:t>
      </w:r>
      <w:r w:rsidRPr="006E5B65">
        <w:rPr>
          <w:rFonts w:cstheme="minorHAnsi"/>
        </w:rPr>
        <w:t xml:space="preserve">and received maintenance treatment with lenalidomide and/or protease inhibitor post ASCT or no maintenance treatment. </w:t>
      </w:r>
    </w:p>
    <w:p w14:paraId="32DBB7CC" w14:textId="77777777" w:rsidR="00786EED" w:rsidRPr="006E5B65" w:rsidRDefault="00786EED" w:rsidP="00EE1400">
      <w:pPr>
        <w:spacing w:before="100" w:beforeAutospacing="1" w:after="100" w:afterAutospacing="1" w:line="240" w:lineRule="auto"/>
        <w:rPr>
          <w:rFonts w:cstheme="minorHAnsi"/>
          <w:i/>
          <w:iCs/>
        </w:rPr>
      </w:pPr>
      <w:r w:rsidRPr="006E5B65">
        <w:rPr>
          <w:rFonts w:cstheme="minorHAnsi"/>
          <w:i/>
          <w:iCs/>
        </w:rPr>
        <w:t xml:space="preserve">Exclusion Criteria: </w:t>
      </w:r>
    </w:p>
    <w:p w14:paraId="3226D86A" w14:textId="1D6FD8FC" w:rsidR="00786EED" w:rsidRPr="006E5B65" w:rsidRDefault="00786EED" w:rsidP="00EE1400">
      <w:pPr>
        <w:spacing w:before="100" w:beforeAutospacing="1" w:after="100" w:afterAutospacing="1" w:line="240" w:lineRule="auto"/>
        <w:rPr>
          <w:rFonts w:cstheme="minorHAnsi"/>
        </w:rPr>
      </w:pPr>
      <w:r w:rsidRPr="006E5B65">
        <w:rPr>
          <w:rFonts w:cstheme="minorHAnsi"/>
        </w:rPr>
        <w:t>-</w:t>
      </w:r>
      <w:r w:rsidR="00A02444" w:rsidRPr="006E5B65">
        <w:rPr>
          <w:rFonts w:cstheme="minorHAnsi"/>
        </w:rPr>
        <w:t xml:space="preserve"> </w:t>
      </w:r>
      <w:r w:rsidRPr="006E5B65">
        <w:rPr>
          <w:rFonts w:cstheme="minorHAnsi"/>
        </w:rPr>
        <w:t>We will exclude patients who did not proceed to transplantation following upfront induction treatment secondary to ineligibility or progression.</w:t>
      </w:r>
    </w:p>
    <w:p w14:paraId="1CCC21B9" w14:textId="3884DB31" w:rsidR="00DA3795" w:rsidRPr="006E5B65" w:rsidRDefault="00A02444" w:rsidP="00EE1400">
      <w:pPr>
        <w:spacing w:before="100" w:beforeAutospacing="1" w:after="100" w:afterAutospacing="1" w:line="240" w:lineRule="auto"/>
        <w:rPr>
          <w:rFonts w:cstheme="minorHAnsi"/>
        </w:rPr>
      </w:pPr>
      <w:r w:rsidRPr="006E5B65">
        <w:rPr>
          <w:rFonts w:cstheme="minorHAnsi"/>
        </w:rPr>
        <w:t xml:space="preserve">- </w:t>
      </w:r>
      <w:r w:rsidR="00477302" w:rsidRPr="006E5B65">
        <w:rPr>
          <w:rFonts w:cstheme="minorHAnsi"/>
        </w:rPr>
        <w:t>P</w:t>
      </w:r>
      <w:r w:rsidRPr="006E5B65">
        <w:rPr>
          <w:rFonts w:cstheme="minorHAnsi"/>
        </w:rPr>
        <w:t xml:space="preserve">atients </w:t>
      </w:r>
      <w:r w:rsidR="000A1478" w:rsidRPr="006E5B65">
        <w:rPr>
          <w:rFonts w:cstheme="minorHAnsi"/>
        </w:rPr>
        <w:t xml:space="preserve">who </w:t>
      </w:r>
      <w:r w:rsidR="00CD4B85" w:rsidRPr="006E5B65">
        <w:rPr>
          <w:rFonts w:cstheme="minorHAnsi"/>
        </w:rPr>
        <w:t>received</w:t>
      </w:r>
      <w:r w:rsidRPr="006E5B65">
        <w:rPr>
          <w:rFonts w:cstheme="minorHAnsi"/>
        </w:rPr>
        <w:t xml:space="preserve"> thalidomide </w:t>
      </w:r>
      <w:r w:rsidR="00477302" w:rsidRPr="006E5B65">
        <w:rPr>
          <w:rFonts w:cstheme="minorHAnsi"/>
        </w:rPr>
        <w:t>maintenance</w:t>
      </w:r>
    </w:p>
    <w:p w14:paraId="6BD209E0" w14:textId="7CB0305E" w:rsidR="00786EED" w:rsidRPr="006E5B65" w:rsidRDefault="00786EED" w:rsidP="00EE1400">
      <w:pPr>
        <w:spacing w:before="100" w:beforeAutospacing="1" w:after="100" w:afterAutospacing="1" w:line="240" w:lineRule="auto"/>
        <w:rPr>
          <w:rFonts w:cstheme="minorHAnsi"/>
        </w:rPr>
      </w:pPr>
      <w:r w:rsidRPr="006E5B65">
        <w:rPr>
          <w:rFonts w:cstheme="minorHAnsi"/>
        </w:rPr>
        <w:t>-</w:t>
      </w:r>
      <w:r w:rsidR="00E243BC" w:rsidRPr="006E5B65">
        <w:rPr>
          <w:rFonts w:cstheme="minorHAnsi"/>
        </w:rPr>
        <w:t xml:space="preserve"> </w:t>
      </w:r>
      <w:r w:rsidRPr="006E5B65">
        <w:rPr>
          <w:rFonts w:cstheme="minorHAnsi"/>
        </w:rPr>
        <w:t>We will exclude patients with very early relapse post ASCT (less than 12 weeks) who required to start second line treatment prior to initiation of maintenance treatment.</w:t>
      </w:r>
    </w:p>
    <w:p w14:paraId="24EF7B12" w14:textId="77777777" w:rsidR="006E5B65" w:rsidRPr="006E5B65" w:rsidRDefault="006E5B65" w:rsidP="00EE1400">
      <w:pPr>
        <w:spacing w:before="100" w:beforeAutospacing="1" w:after="100" w:afterAutospacing="1" w:line="240" w:lineRule="auto"/>
        <w:rPr>
          <w:rFonts w:cstheme="minorHAnsi"/>
          <w:b/>
          <w:bCs/>
          <w:u w:val="single"/>
        </w:rPr>
      </w:pPr>
    </w:p>
    <w:p w14:paraId="32602993" w14:textId="77777777" w:rsidR="00E32E8A" w:rsidRPr="005215F8" w:rsidRDefault="00E32E8A" w:rsidP="00E32E8A">
      <w:pPr>
        <w:rPr>
          <w:rFonts w:ascii="Calibri" w:eastAsia="Calibri" w:hAnsi="Calibri" w:cs="Calibri"/>
          <w:b/>
          <w:bCs/>
          <w:u w:val="single"/>
        </w:rPr>
      </w:pPr>
      <w:r w:rsidRPr="005215F8">
        <w:rPr>
          <w:rFonts w:ascii="Calibri" w:eastAsia="Calibri" w:hAnsi="Calibri" w:cs="Calibri"/>
          <w:b/>
          <w:bCs/>
          <w:u w:val="single"/>
        </w:rPr>
        <w:t xml:space="preserve">Data analysis: </w:t>
      </w:r>
    </w:p>
    <w:p w14:paraId="2E27B469" w14:textId="77777777" w:rsidR="00E32E8A" w:rsidRPr="005215F8" w:rsidRDefault="00E32E8A" w:rsidP="00E32E8A">
      <w:pPr>
        <w:spacing w:before="100" w:beforeAutospacing="1" w:after="100" w:afterAutospacing="1" w:line="240" w:lineRule="auto"/>
        <w:rPr>
          <w:rFonts w:ascii="Calibri" w:eastAsia="Times New Roman" w:hAnsi="Calibri" w:cs="Calibri"/>
        </w:rPr>
      </w:pPr>
      <w:r w:rsidRPr="005215F8">
        <w:rPr>
          <w:rFonts w:ascii="Calibri" w:eastAsia="Times New Roman" w:hAnsi="Calibri" w:cs="Calibri"/>
        </w:rPr>
        <w:t xml:space="preserve">The meta-analysis published by McCarthy </w:t>
      </w:r>
      <w:r w:rsidRPr="005215F8">
        <w:rPr>
          <w:rFonts w:ascii="Calibri" w:eastAsia="Times New Roman" w:hAnsi="Calibri" w:cs="Calibri"/>
          <w:i/>
        </w:rPr>
        <w:t>et al.</w:t>
      </w:r>
      <w:r w:rsidRPr="005215F8">
        <w:rPr>
          <w:rFonts w:ascii="Calibri" w:eastAsia="Times New Roman" w:hAnsi="Calibri" w:cs="Calibri"/>
        </w:rPr>
        <w:t xml:space="preserve"> evaluated 1208 myeloma patients enrolled in 3 RCTS for first line therapy with ASCT and maintenance or no maintenance with lenalidomide. The analysis demonstrated a significant PFS difference of 53% versus 24% in 4 years, confirming the benefit of maintenance. In addition, Duggan et al. recently demonstrated a very similar number: 52% versus 22% of PFS in 3 years for high risk patients in a real-world Canadian data study (REF). Of those, 22 % received dual maintenance therapy. However, no sub-group analysis was performed to assess a difference in PFS related to maintenance strategy. We currently have in our local database a total </w:t>
      </w:r>
      <w:proofErr w:type="gramStart"/>
      <w:r w:rsidRPr="005215F8">
        <w:rPr>
          <w:rFonts w:ascii="Calibri" w:eastAsia="Times New Roman" w:hAnsi="Calibri" w:cs="Calibri"/>
        </w:rPr>
        <w:t>of  175</w:t>
      </w:r>
      <w:proofErr w:type="gramEnd"/>
      <w:r w:rsidRPr="005215F8">
        <w:rPr>
          <w:rFonts w:ascii="Calibri" w:eastAsia="Times New Roman" w:hAnsi="Calibri" w:cs="Calibri"/>
        </w:rPr>
        <w:t xml:space="preserve"> ASCT patients including both high and standard risk patients.  As far as we know, there is currently no data available on the impact of dual maintenance therapy in the high risk population. Therefore, we will need to extrapolate what the current literature shows regarding the benefits of maintenance versus no </w:t>
      </w:r>
      <w:r w:rsidRPr="005215F8">
        <w:rPr>
          <w:rFonts w:ascii="Calibri" w:eastAsia="Times New Roman" w:hAnsi="Calibri" w:cs="Calibri"/>
          <w:sz w:val="24"/>
          <w:szCs w:val="24"/>
        </w:rPr>
        <w:t>maintenance, keeping in mind that high</w:t>
      </w:r>
      <w:r w:rsidRPr="005215F8">
        <w:rPr>
          <w:rFonts w:ascii="Calibri" w:eastAsia="Times New Roman" w:hAnsi="Calibri" w:cs="Calibri"/>
        </w:rPr>
        <w:t xml:space="preserve"> risk patients encompass around 15 to 25% of newly diagnosed myeloma patients.  </w:t>
      </w:r>
      <w:r w:rsidRPr="00985BA9">
        <w:rPr>
          <w:rFonts w:ascii="Calibri" w:eastAsia="Times New Roman" w:hAnsi="Calibri" w:cs="Calibri"/>
          <w:highlight w:val="yellow"/>
        </w:rPr>
        <w:t>Therefore, for an 80% power and 2-sided alpha of 0.05, we require a total of 170 patients to show the benefit of maintenance versus no maintenance similar to what is described in the literature.  We will analyse baseline data by means of descriptive statistics. We will use chi-square or fisher exact as appropriate for categorical variables and student- t test for continuous variables. OS and PFS will be assessed visually using Kaplan-Meier curves and multivariate Cox proportional hazards. Time-to-event end points will be analyzed by means of the Kaplan–Meier method, with the use of a two-sided stratified log-rank test to compare the treatment groups and a multivariate Cox proportional-hazards model adjusted for stratification factors to estimate adjusted hazard ratios and 95% confidence intervals. A competing-risk analysis will be performed to assess the effect of censoring events on progression-free survival.</w:t>
      </w:r>
    </w:p>
    <w:p w14:paraId="0EAA3281" w14:textId="09368794" w:rsidR="00E32E8A" w:rsidRPr="00E32E8A" w:rsidRDefault="00E32E8A" w:rsidP="00E32E8A">
      <w:pPr>
        <w:spacing w:before="100" w:beforeAutospacing="1" w:after="100" w:afterAutospacing="1" w:line="240" w:lineRule="auto"/>
        <w:rPr>
          <w:rFonts w:ascii="Calibri" w:eastAsia="Times New Roman" w:hAnsi="Calibri" w:cs="Calibri"/>
        </w:rPr>
      </w:pPr>
      <w:r w:rsidRPr="005215F8">
        <w:rPr>
          <w:rFonts w:ascii="Calibri" w:eastAsia="Times New Roman" w:hAnsi="Calibri" w:cs="Calibri"/>
        </w:rPr>
        <w:t xml:space="preserve">Progression-free survival is defined as the time from diagnosis until either the first documentation of disease progression or death from any cause. Censoring rules for progression-free survival followed the Food and Drug Administration guidance on end points in cancer trials (Clinical Trial Endpoints for the Approval of Cancer Drugs and Biologics Guidance for Industry; U.S. Department of Health and Human Services FDA, </w:t>
      </w:r>
      <w:proofErr w:type="spellStart"/>
      <w:r w:rsidRPr="005215F8">
        <w:rPr>
          <w:rFonts w:ascii="Calibri" w:eastAsia="Times New Roman" w:hAnsi="Calibri" w:cs="Calibri"/>
        </w:rPr>
        <w:t>Onc.Center</w:t>
      </w:r>
      <w:proofErr w:type="spellEnd"/>
      <w:r w:rsidRPr="005215F8">
        <w:rPr>
          <w:rFonts w:ascii="Calibri" w:eastAsia="Times New Roman" w:hAnsi="Calibri" w:cs="Calibri"/>
        </w:rPr>
        <w:t xml:space="preserve"> of </w:t>
      </w:r>
      <w:proofErr w:type="spellStart"/>
      <w:r w:rsidRPr="005215F8">
        <w:rPr>
          <w:rFonts w:ascii="Calibri" w:eastAsia="Times New Roman" w:hAnsi="Calibri" w:cs="Calibri"/>
        </w:rPr>
        <w:t>Excellence,Center</w:t>
      </w:r>
      <w:proofErr w:type="spellEnd"/>
      <w:r w:rsidRPr="005215F8">
        <w:rPr>
          <w:rFonts w:ascii="Calibri" w:eastAsia="Times New Roman" w:hAnsi="Calibri" w:cs="Calibri"/>
        </w:rPr>
        <w:t xml:space="preserve"> for Drug Evaluation and Research, 2018). Overall survival is defined as the time from diagnosis until death from any cause.  PFS2 is defined as time from diagnosis to disease progression or death from any cause after the second line therapy.</w:t>
      </w:r>
    </w:p>
    <w:p w14:paraId="020A2E9B" w14:textId="77777777" w:rsidR="00D90872" w:rsidRPr="006E5B65" w:rsidRDefault="00D90872" w:rsidP="00EE1400">
      <w:pPr>
        <w:spacing w:before="100" w:beforeAutospacing="1" w:after="100" w:afterAutospacing="1" w:line="240" w:lineRule="auto"/>
        <w:rPr>
          <w:rFonts w:cstheme="minorHAnsi"/>
          <w:b/>
          <w:bCs/>
          <w:u w:val="single"/>
        </w:rPr>
      </w:pPr>
      <w:r w:rsidRPr="006E5B65">
        <w:rPr>
          <w:rFonts w:cstheme="minorHAnsi"/>
          <w:b/>
          <w:bCs/>
          <w:u w:val="single"/>
        </w:rPr>
        <w:t xml:space="preserve">Duration of study </w:t>
      </w:r>
    </w:p>
    <w:p w14:paraId="37719391" w14:textId="772B5FBD" w:rsidR="00F03E86" w:rsidRPr="00EE1400" w:rsidRDefault="00D90872" w:rsidP="00EE1400">
      <w:pPr>
        <w:spacing w:before="100" w:beforeAutospacing="1" w:after="100" w:afterAutospacing="1" w:line="240" w:lineRule="auto"/>
        <w:rPr>
          <w:rFonts w:cstheme="minorHAnsi"/>
          <w:b/>
          <w:bCs/>
        </w:rPr>
      </w:pPr>
      <w:r w:rsidRPr="006E5B65">
        <w:rPr>
          <w:rFonts w:cstheme="minorHAnsi"/>
          <w:bCs/>
        </w:rPr>
        <w:t>Data will be captured for 7 years from MM diagnosis until second relapse, or death from any cause or last follow-up, whichever comes first.</w:t>
      </w:r>
      <w:r w:rsidR="00517732" w:rsidRPr="006E5B65">
        <w:rPr>
          <w:rFonts w:cstheme="minorHAnsi"/>
          <w:b/>
          <w:bCs/>
          <w:u w:val="single"/>
        </w:rPr>
        <w:t xml:space="preserve"> </w:t>
      </w:r>
    </w:p>
    <w:p w14:paraId="32AB5C97" w14:textId="49FFB96D" w:rsidR="00786EED" w:rsidRPr="006E5B65" w:rsidRDefault="00786EED" w:rsidP="00EE1400">
      <w:pPr>
        <w:spacing w:before="100" w:beforeAutospacing="1" w:after="100" w:afterAutospacing="1" w:line="240" w:lineRule="auto"/>
        <w:rPr>
          <w:rFonts w:cstheme="minorHAnsi"/>
          <w:b/>
          <w:bCs/>
          <w:u w:val="single"/>
        </w:rPr>
      </w:pPr>
      <w:r w:rsidRPr="006E5B65">
        <w:rPr>
          <w:rFonts w:cstheme="minorHAnsi"/>
          <w:b/>
          <w:bCs/>
          <w:u w:val="single"/>
        </w:rPr>
        <w:t>Definitions:</w:t>
      </w:r>
    </w:p>
    <w:p w14:paraId="730BEC63" w14:textId="5F8399C9" w:rsidR="00786EED" w:rsidRPr="006E5B65" w:rsidRDefault="00786EED" w:rsidP="00EE1400">
      <w:pPr>
        <w:spacing w:before="100" w:beforeAutospacing="1" w:after="100" w:afterAutospacing="1" w:line="240" w:lineRule="auto"/>
        <w:rPr>
          <w:rFonts w:cstheme="minorHAnsi"/>
          <w:b/>
          <w:bCs/>
          <w:u w:val="single"/>
        </w:rPr>
      </w:pPr>
      <w:r w:rsidRPr="006E5B65">
        <w:rPr>
          <w:rFonts w:cstheme="minorHAnsi"/>
        </w:rPr>
        <w:t xml:space="preserve">-High risk </w:t>
      </w:r>
      <w:r w:rsidR="00BB5394" w:rsidRPr="006E5B65">
        <w:rPr>
          <w:rFonts w:cstheme="minorHAnsi"/>
        </w:rPr>
        <w:t>MM</w:t>
      </w:r>
      <w:r w:rsidRPr="006E5B65">
        <w:rPr>
          <w:rFonts w:cstheme="minorHAnsi"/>
        </w:rPr>
        <w:t>: Defined as presence of one of t(4;14), t(14;16), t(14;20), del(17/17p), (1q)</w:t>
      </w:r>
      <w:r w:rsidR="00290964" w:rsidRPr="006E5B65">
        <w:rPr>
          <w:rFonts w:cstheme="minorHAnsi"/>
        </w:rPr>
        <w:t xml:space="preserve"> amplification </w:t>
      </w:r>
      <w:r w:rsidRPr="006E5B65">
        <w:rPr>
          <w:rFonts w:cstheme="minorHAnsi"/>
        </w:rPr>
        <w:t xml:space="preserve">identified by fluorescence in situ hybridization (FISH) </w:t>
      </w:r>
      <w:r w:rsidR="00290964" w:rsidRPr="006E5B65">
        <w:rPr>
          <w:rFonts w:cstheme="minorHAnsi"/>
        </w:rPr>
        <w:t xml:space="preserve">and patients will ISS stage 3 disease </w:t>
      </w:r>
      <w:r w:rsidRPr="006E5B65">
        <w:rPr>
          <w:rFonts w:cstheme="minorHAnsi"/>
        </w:rPr>
        <w:t>(</w:t>
      </w:r>
      <w:r w:rsidR="00E24693" w:rsidRPr="006E5B65">
        <w:rPr>
          <w:rFonts w:cstheme="minorHAnsi"/>
        </w:rPr>
        <w:t>5,6)</w:t>
      </w:r>
      <w:r w:rsidRPr="006E5B65">
        <w:rPr>
          <w:rFonts w:cstheme="minorHAnsi"/>
        </w:rPr>
        <w:t xml:space="preserve"> </w:t>
      </w:r>
    </w:p>
    <w:p w14:paraId="2B788282" w14:textId="56AFA6CF" w:rsidR="00786EED" w:rsidRPr="006E5B65" w:rsidRDefault="00786EED" w:rsidP="00EE1400">
      <w:pPr>
        <w:spacing w:before="100" w:beforeAutospacing="1" w:after="100" w:afterAutospacing="1" w:line="240" w:lineRule="auto"/>
        <w:rPr>
          <w:rFonts w:cstheme="minorHAnsi"/>
        </w:rPr>
      </w:pPr>
      <w:r w:rsidRPr="006E5B65">
        <w:rPr>
          <w:rFonts w:cstheme="minorHAnsi"/>
        </w:rPr>
        <w:t>-Disease response and progression</w:t>
      </w:r>
      <w:r w:rsidR="006C3E27" w:rsidRPr="006E5B65">
        <w:rPr>
          <w:rFonts w:cstheme="minorHAnsi"/>
        </w:rPr>
        <w:t xml:space="preserve">: </w:t>
      </w:r>
      <w:r w:rsidRPr="006E5B65">
        <w:rPr>
          <w:rFonts w:cstheme="minorHAnsi"/>
        </w:rPr>
        <w:t>disease response and progression criteria is based on IMWG uniform response criteria</w:t>
      </w:r>
      <w:r w:rsidR="00710BCF" w:rsidRPr="006E5B65">
        <w:rPr>
          <w:rFonts w:cstheme="minorHAnsi"/>
        </w:rPr>
        <w:t xml:space="preserve"> </w:t>
      </w:r>
      <w:r w:rsidR="006C3E27" w:rsidRPr="006E5B65">
        <w:rPr>
          <w:rFonts w:cstheme="minorHAnsi"/>
        </w:rPr>
        <w:t>(21</w:t>
      </w:r>
      <w:r w:rsidR="007074A6" w:rsidRPr="006E5B65">
        <w:rPr>
          <w:rFonts w:cstheme="minorHAnsi"/>
        </w:rPr>
        <w:t xml:space="preserve">) </w:t>
      </w:r>
    </w:p>
    <w:p w14:paraId="49338879" w14:textId="2B9F3788" w:rsidR="00786EED" w:rsidRPr="006E5B65" w:rsidRDefault="00786EED" w:rsidP="00EE1400">
      <w:pPr>
        <w:spacing w:before="100" w:beforeAutospacing="1" w:after="100" w:afterAutospacing="1" w:line="240" w:lineRule="auto"/>
        <w:rPr>
          <w:rFonts w:cstheme="minorHAnsi"/>
        </w:rPr>
      </w:pPr>
      <w:r w:rsidRPr="006E5B65">
        <w:rPr>
          <w:rFonts w:cstheme="minorHAnsi"/>
        </w:rPr>
        <w:t>-PFS</w:t>
      </w:r>
      <w:r w:rsidR="00F85CA9" w:rsidRPr="006E5B65">
        <w:rPr>
          <w:rFonts w:cstheme="minorHAnsi"/>
        </w:rPr>
        <w:t xml:space="preserve">- </w:t>
      </w:r>
      <w:r w:rsidRPr="006E5B65">
        <w:rPr>
          <w:rFonts w:cstheme="minorHAnsi"/>
        </w:rPr>
        <w:t>time from transplant to disease progression.</w:t>
      </w:r>
    </w:p>
    <w:p w14:paraId="59075C3A" w14:textId="16221834" w:rsidR="00786EED" w:rsidRPr="006E5B65" w:rsidRDefault="00786EED" w:rsidP="00EE1400">
      <w:pPr>
        <w:spacing w:before="100" w:beforeAutospacing="1" w:after="100" w:afterAutospacing="1" w:line="240" w:lineRule="auto"/>
        <w:rPr>
          <w:rFonts w:cstheme="minorHAnsi"/>
        </w:rPr>
      </w:pPr>
      <w:r w:rsidRPr="006E5B65">
        <w:rPr>
          <w:rFonts w:cstheme="minorHAnsi"/>
        </w:rPr>
        <w:t>-OS</w:t>
      </w:r>
      <w:r w:rsidR="00F85CA9" w:rsidRPr="006E5B65">
        <w:rPr>
          <w:rFonts w:cstheme="minorHAnsi"/>
        </w:rPr>
        <w:t>-</w:t>
      </w:r>
      <w:r w:rsidRPr="006E5B65">
        <w:rPr>
          <w:rFonts w:cstheme="minorHAnsi"/>
        </w:rPr>
        <w:t xml:space="preserve"> time between transplant and death from any cause or last follow up. </w:t>
      </w:r>
    </w:p>
    <w:p w14:paraId="433BBB76" w14:textId="77777777" w:rsidR="00AA5B6E" w:rsidRDefault="00AA5B6E" w:rsidP="00786EED">
      <w:pPr>
        <w:rPr>
          <w:rFonts w:cstheme="minorHAnsi"/>
          <w:b/>
          <w:bCs/>
          <w:u w:val="single"/>
        </w:rPr>
      </w:pPr>
    </w:p>
    <w:p w14:paraId="46DC00BE" w14:textId="77777777" w:rsidR="00FC0B90" w:rsidRDefault="00FC0B90" w:rsidP="00786EED">
      <w:pPr>
        <w:rPr>
          <w:rFonts w:cstheme="minorHAnsi"/>
          <w:b/>
          <w:bCs/>
          <w:sz w:val="18"/>
          <w:szCs w:val="18"/>
          <w:u w:val="single"/>
        </w:rPr>
      </w:pPr>
    </w:p>
    <w:p w14:paraId="587C7E6C" w14:textId="77777777" w:rsidR="00FC0B90" w:rsidRDefault="00FC0B90" w:rsidP="00786EED">
      <w:pPr>
        <w:rPr>
          <w:rFonts w:cstheme="minorHAnsi"/>
          <w:b/>
          <w:bCs/>
          <w:sz w:val="18"/>
          <w:szCs w:val="18"/>
          <w:u w:val="single"/>
        </w:rPr>
      </w:pPr>
    </w:p>
    <w:p w14:paraId="4744D626" w14:textId="77777777" w:rsidR="00FC0B90" w:rsidRDefault="00FC0B90" w:rsidP="00786EED">
      <w:pPr>
        <w:rPr>
          <w:rFonts w:cstheme="minorHAnsi"/>
          <w:b/>
          <w:bCs/>
          <w:sz w:val="18"/>
          <w:szCs w:val="18"/>
          <w:u w:val="single"/>
        </w:rPr>
      </w:pPr>
    </w:p>
    <w:p w14:paraId="2A8EE3FA" w14:textId="4877988F" w:rsidR="00786EED" w:rsidRPr="00EE1400" w:rsidRDefault="00786EED" w:rsidP="00786EED">
      <w:pPr>
        <w:rPr>
          <w:rFonts w:cstheme="minorHAnsi"/>
          <w:b/>
          <w:bCs/>
          <w:sz w:val="18"/>
          <w:szCs w:val="18"/>
          <w:u w:val="single"/>
        </w:rPr>
      </w:pPr>
      <w:r w:rsidRPr="00EE1400">
        <w:rPr>
          <w:rFonts w:cstheme="minorHAnsi"/>
          <w:b/>
          <w:bCs/>
          <w:sz w:val="18"/>
          <w:szCs w:val="18"/>
          <w:u w:val="single"/>
        </w:rPr>
        <w:t>References:</w:t>
      </w:r>
    </w:p>
    <w:p w14:paraId="0E92F7B5" w14:textId="03914E7D" w:rsidR="00E6369C" w:rsidRPr="00EE1400" w:rsidRDefault="00E6369C" w:rsidP="00EE1400">
      <w:pPr>
        <w:pStyle w:val="ListParagraph"/>
        <w:numPr>
          <w:ilvl w:val="0"/>
          <w:numId w:val="1"/>
        </w:numPr>
        <w:rPr>
          <w:rFonts w:cstheme="minorHAnsi"/>
          <w:b/>
          <w:bCs/>
          <w:sz w:val="18"/>
          <w:szCs w:val="18"/>
          <w:u w:val="single"/>
        </w:rPr>
      </w:pPr>
      <w:proofErr w:type="spellStart"/>
      <w:r w:rsidRPr="00EE1400">
        <w:rPr>
          <w:rFonts w:cstheme="minorHAnsi"/>
          <w:color w:val="212121"/>
          <w:sz w:val="18"/>
          <w:szCs w:val="18"/>
          <w:shd w:val="clear" w:color="auto" w:fill="FFFFFF"/>
        </w:rPr>
        <w:t>Manier</w:t>
      </w:r>
      <w:proofErr w:type="spellEnd"/>
      <w:r w:rsidRPr="00EE1400">
        <w:rPr>
          <w:rFonts w:cstheme="minorHAnsi"/>
          <w:color w:val="212121"/>
          <w:sz w:val="18"/>
          <w:szCs w:val="18"/>
          <w:shd w:val="clear" w:color="auto" w:fill="FFFFFF"/>
        </w:rPr>
        <w:t>, Salomon et al. “Genomic complexity of multiple myeloma and its clinical implications.” </w:t>
      </w:r>
      <w:r w:rsidRPr="00EE1400">
        <w:rPr>
          <w:rFonts w:cstheme="minorHAnsi"/>
          <w:i/>
          <w:iCs/>
          <w:color w:val="212121"/>
          <w:sz w:val="18"/>
          <w:szCs w:val="18"/>
          <w:shd w:val="clear" w:color="auto" w:fill="FFFFFF"/>
        </w:rPr>
        <w:t>Nature reviews. Clinical oncology</w:t>
      </w:r>
      <w:r w:rsidRPr="00EE1400">
        <w:rPr>
          <w:rFonts w:cstheme="minorHAnsi"/>
          <w:color w:val="212121"/>
          <w:sz w:val="18"/>
          <w:szCs w:val="18"/>
          <w:shd w:val="clear" w:color="auto" w:fill="FFFFFF"/>
        </w:rPr>
        <w:t> vol. 14,2 (2017): 100-113. doi:10.1038/nrclinonc.2016.122</w:t>
      </w:r>
    </w:p>
    <w:p w14:paraId="7282227D" w14:textId="221CFA93" w:rsidR="00122ADF" w:rsidRPr="00EE1400" w:rsidRDefault="00122ADF" w:rsidP="00EE1400">
      <w:pPr>
        <w:pStyle w:val="ListParagraph"/>
        <w:numPr>
          <w:ilvl w:val="0"/>
          <w:numId w:val="1"/>
        </w:numPr>
        <w:rPr>
          <w:rFonts w:cstheme="minorHAnsi"/>
          <w:b/>
          <w:bCs/>
          <w:sz w:val="18"/>
          <w:szCs w:val="18"/>
          <w:u w:val="single"/>
        </w:rPr>
      </w:pPr>
      <w:proofErr w:type="spellStart"/>
      <w:r w:rsidRPr="00EE1400">
        <w:rPr>
          <w:rFonts w:cstheme="minorHAnsi"/>
          <w:color w:val="212121"/>
          <w:sz w:val="18"/>
          <w:szCs w:val="18"/>
          <w:shd w:val="clear" w:color="auto" w:fill="FFFFFF"/>
        </w:rPr>
        <w:t>Sonneveld</w:t>
      </w:r>
      <w:proofErr w:type="spellEnd"/>
      <w:r w:rsidRPr="00EE1400">
        <w:rPr>
          <w:rFonts w:cstheme="minorHAnsi"/>
          <w:color w:val="212121"/>
          <w:sz w:val="18"/>
          <w:szCs w:val="18"/>
          <w:shd w:val="clear" w:color="auto" w:fill="FFFFFF"/>
        </w:rPr>
        <w:t>, Pieter et al. “Treatment of multiple myeloma with high-risk cytogenetics: a consensus of the International Myeloma Working Group.” </w:t>
      </w:r>
      <w:r w:rsidRPr="00EE1400">
        <w:rPr>
          <w:rFonts w:cstheme="minorHAnsi"/>
          <w:i/>
          <w:iCs/>
          <w:color w:val="212121"/>
          <w:sz w:val="18"/>
          <w:szCs w:val="18"/>
          <w:shd w:val="clear" w:color="auto" w:fill="FFFFFF"/>
        </w:rPr>
        <w:t>Blood</w:t>
      </w:r>
      <w:r w:rsidRPr="00EE1400">
        <w:rPr>
          <w:rFonts w:cstheme="minorHAnsi"/>
          <w:color w:val="212121"/>
          <w:sz w:val="18"/>
          <w:szCs w:val="18"/>
          <w:shd w:val="clear" w:color="auto" w:fill="FFFFFF"/>
        </w:rPr>
        <w:t> vol. 127,24 (2016): 2955-62. doi:10.1182/blood-2016-01-631200</w:t>
      </w:r>
    </w:p>
    <w:p w14:paraId="552425F3" w14:textId="00B5DC28" w:rsidR="00D470F2" w:rsidRPr="00EE1400" w:rsidRDefault="00D470F2" w:rsidP="00EE1400">
      <w:pPr>
        <w:pStyle w:val="ListParagraph"/>
        <w:numPr>
          <w:ilvl w:val="0"/>
          <w:numId w:val="1"/>
        </w:numPr>
        <w:rPr>
          <w:rFonts w:cstheme="minorHAnsi"/>
          <w:b/>
          <w:bCs/>
          <w:sz w:val="18"/>
          <w:szCs w:val="18"/>
          <w:u w:val="single"/>
        </w:rPr>
      </w:pPr>
      <w:r w:rsidRPr="00EE1400">
        <w:rPr>
          <w:rFonts w:cstheme="minorHAnsi"/>
          <w:color w:val="212121"/>
          <w:sz w:val="18"/>
          <w:szCs w:val="18"/>
          <w:shd w:val="clear" w:color="auto" w:fill="FFFFFF"/>
        </w:rPr>
        <w:t xml:space="preserve">Palumbo, Antonio et al. “Revised International Staging System for Multiple Myeloma: A Report </w:t>
      </w:r>
      <w:proofErr w:type="gramStart"/>
      <w:r w:rsidRPr="00EE1400">
        <w:rPr>
          <w:rFonts w:cstheme="minorHAnsi"/>
          <w:color w:val="212121"/>
          <w:sz w:val="18"/>
          <w:szCs w:val="18"/>
          <w:shd w:val="clear" w:color="auto" w:fill="FFFFFF"/>
        </w:rPr>
        <w:t>From</w:t>
      </w:r>
      <w:proofErr w:type="gramEnd"/>
      <w:r w:rsidRPr="00EE1400">
        <w:rPr>
          <w:rFonts w:cstheme="minorHAnsi"/>
          <w:color w:val="212121"/>
          <w:sz w:val="18"/>
          <w:szCs w:val="18"/>
          <w:shd w:val="clear" w:color="auto" w:fill="FFFFFF"/>
        </w:rPr>
        <w:t xml:space="preserve"> International Myeloma Working Group.” </w:t>
      </w:r>
      <w:r w:rsidRPr="00EE1400">
        <w:rPr>
          <w:rFonts w:cstheme="minorHAnsi"/>
          <w:i/>
          <w:iCs/>
          <w:color w:val="212121"/>
          <w:sz w:val="18"/>
          <w:szCs w:val="18"/>
          <w:shd w:val="clear" w:color="auto" w:fill="FFFFFF"/>
        </w:rPr>
        <w:t xml:space="preserve">Journal of clinical </w:t>
      </w:r>
      <w:proofErr w:type="gramStart"/>
      <w:r w:rsidRPr="00EE1400">
        <w:rPr>
          <w:rFonts w:cstheme="minorHAnsi"/>
          <w:i/>
          <w:iCs/>
          <w:color w:val="212121"/>
          <w:sz w:val="18"/>
          <w:szCs w:val="18"/>
          <w:shd w:val="clear" w:color="auto" w:fill="FFFFFF"/>
        </w:rPr>
        <w:t>oncology :</w:t>
      </w:r>
      <w:proofErr w:type="gramEnd"/>
      <w:r w:rsidRPr="00EE1400">
        <w:rPr>
          <w:rFonts w:cstheme="minorHAnsi"/>
          <w:i/>
          <w:iCs/>
          <w:color w:val="212121"/>
          <w:sz w:val="18"/>
          <w:szCs w:val="18"/>
          <w:shd w:val="clear" w:color="auto" w:fill="FFFFFF"/>
        </w:rPr>
        <w:t xml:space="preserve"> official journal of the American Society of Clinical Oncology</w:t>
      </w:r>
      <w:r w:rsidRPr="00EE1400">
        <w:rPr>
          <w:rFonts w:cstheme="minorHAnsi"/>
          <w:color w:val="212121"/>
          <w:sz w:val="18"/>
          <w:szCs w:val="18"/>
          <w:shd w:val="clear" w:color="auto" w:fill="FFFFFF"/>
        </w:rPr>
        <w:t> vol. 33,26 (2015): 2863-9. doi:10.1200/JCO.2015.61.2267</w:t>
      </w:r>
    </w:p>
    <w:p w14:paraId="01319158" w14:textId="1F37EFFF" w:rsidR="008E3E08" w:rsidRPr="00EE1400" w:rsidRDefault="008E3E08" w:rsidP="00EE1400">
      <w:pPr>
        <w:pStyle w:val="ListParagraph"/>
        <w:numPr>
          <w:ilvl w:val="0"/>
          <w:numId w:val="1"/>
        </w:numPr>
        <w:rPr>
          <w:rFonts w:cstheme="minorHAnsi"/>
          <w:b/>
          <w:bCs/>
          <w:sz w:val="18"/>
          <w:szCs w:val="18"/>
          <w:u w:val="single"/>
        </w:rPr>
      </w:pPr>
      <w:proofErr w:type="spellStart"/>
      <w:r w:rsidRPr="00EE1400">
        <w:rPr>
          <w:rFonts w:cstheme="minorHAnsi"/>
          <w:color w:val="212121"/>
          <w:sz w:val="18"/>
          <w:szCs w:val="18"/>
          <w:shd w:val="clear" w:color="auto" w:fill="FFFFFF"/>
        </w:rPr>
        <w:t>Avet</w:t>
      </w:r>
      <w:proofErr w:type="spellEnd"/>
      <w:r w:rsidRPr="00EE1400">
        <w:rPr>
          <w:rFonts w:cstheme="minorHAnsi"/>
          <w:color w:val="212121"/>
          <w:sz w:val="18"/>
          <w:szCs w:val="18"/>
          <w:shd w:val="clear" w:color="auto" w:fill="FFFFFF"/>
        </w:rPr>
        <w:t xml:space="preserve">-Loiseau, </w:t>
      </w:r>
      <w:proofErr w:type="spellStart"/>
      <w:r w:rsidRPr="00EE1400">
        <w:rPr>
          <w:rFonts w:cstheme="minorHAnsi"/>
          <w:color w:val="212121"/>
          <w:sz w:val="18"/>
          <w:szCs w:val="18"/>
          <w:shd w:val="clear" w:color="auto" w:fill="FFFFFF"/>
        </w:rPr>
        <w:t>Hervé</w:t>
      </w:r>
      <w:proofErr w:type="spellEnd"/>
      <w:r w:rsidRPr="00EE1400">
        <w:rPr>
          <w:rFonts w:cstheme="minorHAnsi"/>
          <w:color w:val="212121"/>
          <w:sz w:val="18"/>
          <w:szCs w:val="18"/>
          <w:shd w:val="clear" w:color="auto" w:fill="FFFFFF"/>
        </w:rPr>
        <w:t xml:space="preserve"> et al. “Genetic abnormalities and survival in multiple myeloma: the experience of the </w:t>
      </w:r>
      <w:proofErr w:type="spellStart"/>
      <w:r w:rsidRPr="00EE1400">
        <w:rPr>
          <w:rFonts w:cstheme="minorHAnsi"/>
          <w:color w:val="212121"/>
          <w:sz w:val="18"/>
          <w:szCs w:val="18"/>
          <w:shd w:val="clear" w:color="auto" w:fill="FFFFFF"/>
        </w:rPr>
        <w:t>Intergroupe</w:t>
      </w:r>
      <w:proofErr w:type="spellEnd"/>
      <w:r w:rsidRPr="00EE1400">
        <w:rPr>
          <w:rFonts w:cstheme="minorHAnsi"/>
          <w:color w:val="212121"/>
          <w:sz w:val="18"/>
          <w:szCs w:val="18"/>
          <w:shd w:val="clear" w:color="auto" w:fill="FFFFFF"/>
        </w:rPr>
        <w:t xml:space="preserve"> Francophone du </w:t>
      </w:r>
      <w:proofErr w:type="spellStart"/>
      <w:r w:rsidRPr="00EE1400">
        <w:rPr>
          <w:rFonts w:cstheme="minorHAnsi"/>
          <w:color w:val="212121"/>
          <w:sz w:val="18"/>
          <w:szCs w:val="18"/>
          <w:shd w:val="clear" w:color="auto" w:fill="FFFFFF"/>
        </w:rPr>
        <w:t>Myélome</w:t>
      </w:r>
      <w:proofErr w:type="spellEnd"/>
      <w:r w:rsidRPr="00EE1400">
        <w:rPr>
          <w:rFonts w:cstheme="minorHAnsi"/>
          <w:color w:val="212121"/>
          <w:sz w:val="18"/>
          <w:szCs w:val="18"/>
          <w:shd w:val="clear" w:color="auto" w:fill="FFFFFF"/>
        </w:rPr>
        <w:t>.” </w:t>
      </w:r>
      <w:r w:rsidRPr="00EE1400">
        <w:rPr>
          <w:rFonts w:cstheme="minorHAnsi"/>
          <w:i/>
          <w:iCs/>
          <w:color w:val="212121"/>
          <w:sz w:val="18"/>
          <w:szCs w:val="18"/>
          <w:shd w:val="clear" w:color="auto" w:fill="FFFFFF"/>
        </w:rPr>
        <w:t>Blood</w:t>
      </w:r>
      <w:r w:rsidRPr="00EE1400">
        <w:rPr>
          <w:rFonts w:cstheme="minorHAnsi"/>
          <w:color w:val="212121"/>
          <w:sz w:val="18"/>
          <w:szCs w:val="18"/>
          <w:shd w:val="clear" w:color="auto" w:fill="FFFFFF"/>
        </w:rPr>
        <w:t> vol. 109,8 (2007): 3489-95. doi:10.1182/blood-2006-08-040410</w:t>
      </w:r>
    </w:p>
    <w:p w14:paraId="0C1C795E" w14:textId="179AD1F3" w:rsidR="00D01829" w:rsidRPr="00EE1400" w:rsidRDefault="00D01829" w:rsidP="00EE1400">
      <w:pPr>
        <w:pStyle w:val="ListParagraph"/>
        <w:numPr>
          <w:ilvl w:val="0"/>
          <w:numId w:val="1"/>
        </w:numPr>
        <w:rPr>
          <w:rFonts w:cstheme="minorHAnsi"/>
          <w:b/>
          <w:bCs/>
          <w:sz w:val="18"/>
          <w:szCs w:val="18"/>
          <w:u w:val="single"/>
        </w:rPr>
      </w:pPr>
      <w:proofErr w:type="spellStart"/>
      <w:r w:rsidRPr="00EE1400">
        <w:rPr>
          <w:rFonts w:cstheme="minorHAnsi"/>
          <w:color w:val="212121"/>
          <w:sz w:val="18"/>
          <w:szCs w:val="18"/>
          <w:shd w:val="clear" w:color="auto" w:fill="FFFFFF"/>
        </w:rPr>
        <w:t>Chng</w:t>
      </w:r>
      <w:proofErr w:type="spellEnd"/>
      <w:r w:rsidRPr="00EE1400">
        <w:rPr>
          <w:rFonts w:cstheme="minorHAnsi"/>
          <w:color w:val="212121"/>
          <w:sz w:val="18"/>
          <w:szCs w:val="18"/>
          <w:shd w:val="clear" w:color="auto" w:fill="FFFFFF"/>
        </w:rPr>
        <w:t>, W J et al. “IMWG consensus on risk stratification in multiple myeloma.” </w:t>
      </w:r>
      <w:r w:rsidRPr="00EE1400">
        <w:rPr>
          <w:rFonts w:cstheme="minorHAnsi"/>
          <w:i/>
          <w:iCs/>
          <w:color w:val="212121"/>
          <w:sz w:val="18"/>
          <w:szCs w:val="18"/>
          <w:shd w:val="clear" w:color="auto" w:fill="FFFFFF"/>
        </w:rPr>
        <w:t>Leukemia</w:t>
      </w:r>
      <w:r w:rsidRPr="00EE1400">
        <w:rPr>
          <w:rFonts w:cstheme="minorHAnsi"/>
          <w:color w:val="212121"/>
          <w:sz w:val="18"/>
          <w:szCs w:val="18"/>
          <w:shd w:val="clear" w:color="auto" w:fill="FFFFFF"/>
        </w:rPr>
        <w:t> vol. 28,2 (2014): 269-77. doi:10.1038/leu.2013.247</w:t>
      </w:r>
    </w:p>
    <w:p w14:paraId="393056D8" w14:textId="7072C92E" w:rsidR="009B7715" w:rsidRPr="00EE1400" w:rsidRDefault="009B7715" w:rsidP="00EE1400">
      <w:pPr>
        <w:pStyle w:val="ListParagraph"/>
        <w:numPr>
          <w:ilvl w:val="0"/>
          <w:numId w:val="1"/>
        </w:numPr>
        <w:rPr>
          <w:rFonts w:cstheme="minorHAnsi"/>
          <w:b/>
          <w:bCs/>
          <w:sz w:val="18"/>
          <w:szCs w:val="18"/>
          <w:u w:val="single"/>
        </w:rPr>
      </w:pPr>
      <w:proofErr w:type="spellStart"/>
      <w:r w:rsidRPr="00EE1400">
        <w:rPr>
          <w:rFonts w:cstheme="minorHAnsi"/>
          <w:color w:val="212121"/>
          <w:sz w:val="18"/>
          <w:szCs w:val="18"/>
          <w:shd w:val="clear" w:color="auto" w:fill="FFFFFF"/>
        </w:rPr>
        <w:t>Sonneveld</w:t>
      </w:r>
      <w:proofErr w:type="spellEnd"/>
      <w:r w:rsidRPr="00EE1400">
        <w:rPr>
          <w:rFonts w:cstheme="minorHAnsi"/>
          <w:color w:val="212121"/>
          <w:sz w:val="18"/>
          <w:szCs w:val="18"/>
          <w:shd w:val="clear" w:color="auto" w:fill="FFFFFF"/>
        </w:rPr>
        <w:t>, Pieter et al. “Treatment of multiple myeloma with high-risk cytogenetics: a consensus of the International Myeloma Working Group.” </w:t>
      </w:r>
      <w:r w:rsidRPr="00EE1400">
        <w:rPr>
          <w:rFonts w:cstheme="minorHAnsi"/>
          <w:i/>
          <w:iCs/>
          <w:color w:val="212121"/>
          <w:sz w:val="18"/>
          <w:szCs w:val="18"/>
          <w:shd w:val="clear" w:color="auto" w:fill="FFFFFF"/>
        </w:rPr>
        <w:t>Blood</w:t>
      </w:r>
      <w:r w:rsidRPr="00EE1400">
        <w:rPr>
          <w:rFonts w:cstheme="minorHAnsi"/>
          <w:color w:val="212121"/>
          <w:sz w:val="18"/>
          <w:szCs w:val="18"/>
          <w:shd w:val="clear" w:color="auto" w:fill="FFFFFF"/>
        </w:rPr>
        <w:t> vol. 127,24 (2016): 2955-62. doi:10.1182/blood-2016-01-631200</w:t>
      </w:r>
    </w:p>
    <w:p w14:paraId="692E99B6" w14:textId="326DECF3" w:rsidR="0011150B" w:rsidRPr="00EE1400" w:rsidRDefault="0011150B" w:rsidP="00EE1400">
      <w:pPr>
        <w:pStyle w:val="ListParagraph"/>
        <w:numPr>
          <w:ilvl w:val="0"/>
          <w:numId w:val="1"/>
        </w:numPr>
        <w:rPr>
          <w:rFonts w:cstheme="minorHAnsi"/>
          <w:b/>
          <w:bCs/>
          <w:sz w:val="18"/>
          <w:szCs w:val="18"/>
          <w:u w:val="single"/>
        </w:rPr>
      </w:pPr>
      <w:proofErr w:type="spellStart"/>
      <w:r w:rsidRPr="00EE1400">
        <w:rPr>
          <w:rFonts w:cstheme="minorHAnsi"/>
          <w:color w:val="212121"/>
          <w:sz w:val="18"/>
          <w:szCs w:val="18"/>
          <w:shd w:val="clear" w:color="auto" w:fill="FFFFFF"/>
        </w:rPr>
        <w:t>Gagelmann</w:t>
      </w:r>
      <w:proofErr w:type="spellEnd"/>
      <w:r w:rsidRPr="00EE1400">
        <w:rPr>
          <w:rFonts w:cstheme="minorHAnsi"/>
          <w:color w:val="212121"/>
          <w:sz w:val="18"/>
          <w:szCs w:val="18"/>
          <w:shd w:val="clear" w:color="auto" w:fill="FFFFFF"/>
        </w:rPr>
        <w:t>, Nico et al. “Tandem Autologous Stem Cell Transplantation Improves Outcomes in Newly Diagnosed Multiple Myeloma with Extramedullary Disease and High-Risk Cytogenetics: A Study from the Chronic Malignancies Working Party of the European Society for Blood and Marrow Transplantation.” </w:t>
      </w:r>
      <w:r w:rsidRPr="00EE1400">
        <w:rPr>
          <w:rFonts w:cstheme="minorHAnsi"/>
          <w:i/>
          <w:iCs/>
          <w:color w:val="212121"/>
          <w:sz w:val="18"/>
          <w:szCs w:val="18"/>
          <w:shd w:val="clear" w:color="auto" w:fill="FFFFFF"/>
        </w:rPr>
        <w:t xml:space="preserve">Biology of blood and marrow </w:t>
      </w:r>
      <w:proofErr w:type="gramStart"/>
      <w:r w:rsidRPr="00EE1400">
        <w:rPr>
          <w:rFonts w:cstheme="minorHAnsi"/>
          <w:i/>
          <w:iCs/>
          <w:color w:val="212121"/>
          <w:sz w:val="18"/>
          <w:szCs w:val="18"/>
          <w:shd w:val="clear" w:color="auto" w:fill="FFFFFF"/>
        </w:rPr>
        <w:t>transplantation :</w:t>
      </w:r>
      <w:proofErr w:type="gramEnd"/>
      <w:r w:rsidRPr="00EE1400">
        <w:rPr>
          <w:rFonts w:cstheme="minorHAnsi"/>
          <w:i/>
          <w:iCs/>
          <w:color w:val="212121"/>
          <w:sz w:val="18"/>
          <w:szCs w:val="18"/>
          <w:shd w:val="clear" w:color="auto" w:fill="FFFFFF"/>
        </w:rPr>
        <w:t xml:space="preserve"> journal of the American Society for Blood and Marrow Transplantation</w:t>
      </w:r>
      <w:r w:rsidRPr="00EE1400">
        <w:rPr>
          <w:rFonts w:cstheme="minorHAnsi"/>
          <w:color w:val="212121"/>
          <w:sz w:val="18"/>
          <w:szCs w:val="18"/>
          <w:shd w:val="clear" w:color="auto" w:fill="FFFFFF"/>
        </w:rPr>
        <w:t> vol. 25,11 (2019): 2134-2142. doi:10.1016/j.bbmt.2019.07.004</w:t>
      </w:r>
    </w:p>
    <w:p w14:paraId="69EA4839" w14:textId="51FD1016" w:rsidR="005A4385" w:rsidRPr="00EE1400" w:rsidRDefault="005A4385" w:rsidP="00EE1400">
      <w:pPr>
        <w:pStyle w:val="ListParagraph"/>
        <w:numPr>
          <w:ilvl w:val="0"/>
          <w:numId w:val="1"/>
        </w:numPr>
        <w:rPr>
          <w:rFonts w:cstheme="minorHAnsi"/>
          <w:b/>
          <w:bCs/>
          <w:sz w:val="18"/>
          <w:szCs w:val="18"/>
          <w:u w:val="single"/>
        </w:rPr>
      </w:pPr>
      <w:proofErr w:type="spellStart"/>
      <w:r w:rsidRPr="00EE1400">
        <w:rPr>
          <w:rFonts w:cstheme="minorHAnsi"/>
          <w:color w:val="212121"/>
          <w:sz w:val="18"/>
          <w:szCs w:val="18"/>
          <w:shd w:val="clear" w:color="auto" w:fill="FFFFFF"/>
        </w:rPr>
        <w:t>Stadtmauer</w:t>
      </w:r>
      <w:proofErr w:type="spellEnd"/>
      <w:r w:rsidRPr="00EE1400">
        <w:rPr>
          <w:rFonts w:cstheme="minorHAnsi"/>
          <w:color w:val="212121"/>
          <w:sz w:val="18"/>
          <w:szCs w:val="18"/>
          <w:shd w:val="clear" w:color="auto" w:fill="FFFFFF"/>
        </w:rPr>
        <w:t>, Edward A et al. “Autologous Transplantation, Consolidation, and Maintenance Therapy in Multiple Myeloma: Results of the BMT CTN 0702 Trial.” </w:t>
      </w:r>
      <w:r w:rsidRPr="00EE1400">
        <w:rPr>
          <w:rFonts w:cstheme="minorHAnsi"/>
          <w:i/>
          <w:iCs/>
          <w:color w:val="212121"/>
          <w:sz w:val="18"/>
          <w:szCs w:val="18"/>
          <w:shd w:val="clear" w:color="auto" w:fill="FFFFFF"/>
        </w:rPr>
        <w:t xml:space="preserve">Journal of clinical </w:t>
      </w:r>
      <w:proofErr w:type="gramStart"/>
      <w:r w:rsidRPr="00EE1400">
        <w:rPr>
          <w:rFonts w:cstheme="minorHAnsi"/>
          <w:i/>
          <w:iCs/>
          <w:color w:val="212121"/>
          <w:sz w:val="18"/>
          <w:szCs w:val="18"/>
          <w:shd w:val="clear" w:color="auto" w:fill="FFFFFF"/>
        </w:rPr>
        <w:t>oncology :</w:t>
      </w:r>
      <w:proofErr w:type="gramEnd"/>
      <w:r w:rsidRPr="00EE1400">
        <w:rPr>
          <w:rFonts w:cstheme="minorHAnsi"/>
          <w:i/>
          <w:iCs/>
          <w:color w:val="212121"/>
          <w:sz w:val="18"/>
          <w:szCs w:val="18"/>
          <w:shd w:val="clear" w:color="auto" w:fill="FFFFFF"/>
        </w:rPr>
        <w:t xml:space="preserve"> official journal of the American Society of Clinical Oncology</w:t>
      </w:r>
      <w:r w:rsidRPr="00EE1400">
        <w:rPr>
          <w:rFonts w:cstheme="minorHAnsi"/>
          <w:color w:val="212121"/>
          <w:sz w:val="18"/>
          <w:szCs w:val="18"/>
          <w:shd w:val="clear" w:color="auto" w:fill="FFFFFF"/>
        </w:rPr>
        <w:t> vol. 37,7 (2019): 589-597. doi:10.1200/JCO.18.00685</w:t>
      </w:r>
    </w:p>
    <w:p w14:paraId="46CCC350" w14:textId="77777777" w:rsidR="00786EED" w:rsidRPr="00EE1400" w:rsidRDefault="00786EED" w:rsidP="00786EED">
      <w:pPr>
        <w:pStyle w:val="ListParagraph"/>
        <w:numPr>
          <w:ilvl w:val="0"/>
          <w:numId w:val="1"/>
        </w:numPr>
        <w:rPr>
          <w:rFonts w:cstheme="minorHAnsi"/>
          <w:sz w:val="18"/>
          <w:szCs w:val="18"/>
        </w:rPr>
      </w:pPr>
      <w:proofErr w:type="spellStart"/>
      <w:r w:rsidRPr="00EE1400">
        <w:rPr>
          <w:rFonts w:cstheme="minorHAnsi"/>
          <w:color w:val="303030"/>
          <w:sz w:val="18"/>
          <w:szCs w:val="18"/>
          <w:shd w:val="clear" w:color="auto" w:fill="FFFFFF"/>
        </w:rPr>
        <w:t>Sonneveld</w:t>
      </w:r>
      <w:proofErr w:type="spellEnd"/>
      <w:r w:rsidRPr="00EE1400">
        <w:rPr>
          <w:rFonts w:cstheme="minorHAnsi"/>
          <w:color w:val="303030"/>
          <w:sz w:val="18"/>
          <w:szCs w:val="18"/>
          <w:shd w:val="clear" w:color="auto" w:fill="FFFFFF"/>
        </w:rPr>
        <w:t>, Pieter et al. “Treatment of multiple myeloma with high-risk cytogenetics: a consensus of the International Myeloma Working Group.” </w:t>
      </w:r>
      <w:r w:rsidRPr="00EE1400">
        <w:rPr>
          <w:rFonts w:cstheme="minorHAnsi"/>
          <w:i/>
          <w:iCs/>
          <w:color w:val="303030"/>
          <w:sz w:val="18"/>
          <w:szCs w:val="18"/>
          <w:shd w:val="clear" w:color="auto" w:fill="FFFFFF"/>
        </w:rPr>
        <w:t>Blood</w:t>
      </w:r>
      <w:r w:rsidRPr="00EE1400">
        <w:rPr>
          <w:rFonts w:cstheme="minorHAnsi"/>
          <w:color w:val="303030"/>
          <w:sz w:val="18"/>
          <w:szCs w:val="18"/>
          <w:shd w:val="clear" w:color="auto" w:fill="FFFFFF"/>
        </w:rPr>
        <w:t> vol. 127,24 (2016): 2955-62. doi:10.1182/blood-2016-01-631200</w:t>
      </w:r>
    </w:p>
    <w:p w14:paraId="386DB791" w14:textId="77777777" w:rsidR="00786EED" w:rsidRPr="00EE1400" w:rsidRDefault="00786EED" w:rsidP="00786EED">
      <w:pPr>
        <w:pStyle w:val="ListParagraph"/>
        <w:numPr>
          <w:ilvl w:val="0"/>
          <w:numId w:val="1"/>
        </w:numPr>
        <w:rPr>
          <w:rFonts w:cstheme="minorHAnsi"/>
          <w:sz w:val="18"/>
          <w:szCs w:val="18"/>
        </w:rPr>
      </w:pPr>
      <w:r w:rsidRPr="00EE1400">
        <w:rPr>
          <w:rFonts w:cstheme="minorHAnsi"/>
          <w:color w:val="303030"/>
          <w:sz w:val="18"/>
          <w:szCs w:val="18"/>
          <w:shd w:val="clear" w:color="auto" w:fill="FFFFFF"/>
        </w:rPr>
        <w:t>Jackson, Graham H et al. “Lenalidomide maintenance versus observation for patients with newly diagnosed multiple myeloma (Myeloma XI): a multicentre, open-label, randomised, phase 3 trial.” </w:t>
      </w:r>
      <w:r w:rsidRPr="00EE1400">
        <w:rPr>
          <w:rFonts w:cstheme="minorHAnsi"/>
          <w:i/>
          <w:iCs/>
          <w:color w:val="303030"/>
          <w:sz w:val="18"/>
          <w:szCs w:val="18"/>
          <w:shd w:val="clear" w:color="auto" w:fill="FFFFFF"/>
        </w:rPr>
        <w:t>The Lancet. Oncology</w:t>
      </w:r>
      <w:r w:rsidRPr="00EE1400">
        <w:rPr>
          <w:rFonts w:cstheme="minorHAnsi"/>
          <w:color w:val="303030"/>
          <w:sz w:val="18"/>
          <w:szCs w:val="18"/>
          <w:shd w:val="clear" w:color="auto" w:fill="FFFFFF"/>
        </w:rPr>
        <w:t> vol. 20,1 (2019): 57-73. doi:10.1016/S1470-2045(18)30687-9</w:t>
      </w:r>
    </w:p>
    <w:p w14:paraId="642817E8" w14:textId="77777777" w:rsidR="00786EED" w:rsidRPr="00EE1400" w:rsidRDefault="00786EED" w:rsidP="00786EED">
      <w:pPr>
        <w:pStyle w:val="ListParagraph"/>
        <w:numPr>
          <w:ilvl w:val="0"/>
          <w:numId w:val="1"/>
        </w:numPr>
        <w:rPr>
          <w:rFonts w:cstheme="minorHAnsi"/>
          <w:sz w:val="18"/>
          <w:szCs w:val="18"/>
        </w:rPr>
      </w:pPr>
      <w:r w:rsidRPr="00EE1400">
        <w:rPr>
          <w:rFonts w:cstheme="minorHAnsi"/>
          <w:color w:val="212121"/>
          <w:sz w:val="18"/>
          <w:szCs w:val="18"/>
          <w:shd w:val="clear" w:color="auto" w:fill="FFFFFF"/>
        </w:rPr>
        <w:t>Palumbo, Antonio et al. “Autologous transplantation and maintenance therapy in multiple myeloma.” </w:t>
      </w:r>
      <w:r w:rsidRPr="00EE1400">
        <w:rPr>
          <w:rFonts w:cstheme="minorHAnsi"/>
          <w:i/>
          <w:iCs/>
          <w:color w:val="212121"/>
          <w:sz w:val="18"/>
          <w:szCs w:val="18"/>
          <w:shd w:val="clear" w:color="auto" w:fill="FFFFFF"/>
        </w:rPr>
        <w:t>The New England journal of medicine</w:t>
      </w:r>
      <w:r w:rsidRPr="00EE1400">
        <w:rPr>
          <w:rFonts w:cstheme="minorHAnsi"/>
          <w:color w:val="212121"/>
          <w:sz w:val="18"/>
          <w:szCs w:val="18"/>
          <w:shd w:val="clear" w:color="auto" w:fill="FFFFFF"/>
        </w:rPr>
        <w:t> vol. 371,10 (2014): 895-905. doi:10.1056/NEJMoa1402888</w:t>
      </w:r>
    </w:p>
    <w:p w14:paraId="7129FE23" w14:textId="77777777" w:rsidR="00786EED" w:rsidRPr="00EE1400" w:rsidRDefault="00786EED" w:rsidP="00786EED">
      <w:pPr>
        <w:pStyle w:val="ListParagraph"/>
        <w:numPr>
          <w:ilvl w:val="0"/>
          <w:numId w:val="1"/>
        </w:numPr>
        <w:rPr>
          <w:rFonts w:cstheme="minorHAnsi"/>
          <w:sz w:val="18"/>
          <w:szCs w:val="18"/>
        </w:rPr>
      </w:pPr>
      <w:r w:rsidRPr="00EE1400">
        <w:rPr>
          <w:rFonts w:cstheme="minorHAnsi"/>
          <w:color w:val="212121"/>
          <w:sz w:val="18"/>
          <w:szCs w:val="18"/>
          <w:shd w:val="clear" w:color="auto" w:fill="FFFFFF"/>
        </w:rPr>
        <w:t>Attal, Michel et al. “Lenalidomide maintenance after stem-cell transplantation for multiple myeloma.” </w:t>
      </w:r>
      <w:r w:rsidRPr="00EE1400">
        <w:rPr>
          <w:rFonts w:cstheme="minorHAnsi"/>
          <w:i/>
          <w:iCs/>
          <w:color w:val="212121"/>
          <w:sz w:val="18"/>
          <w:szCs w:val="18"/>
          <w:shd w:val="clear" w:color="auto" w:fill="FFFFFF"/>
        </w:rPr>
        <w:t>The New England journal of medicine</w:t>
      </w:r>
      <w:r w:rsidRPr="00EE1400">
        <w:rPr>
          <w:rFonts w:cstheme="minorHAnsi"/>
          <w:color w:val="212121"/>
          <w:sz w:val="18"/>
          <w:szCs w:val="18"/>
          <w:shd w:val="clear" w:color="auto" w:fill="FFFFFF"/>
        </w:rPr>
        <w:t> vol. 366,19 (2012): 1782-91. doi:10.1056/NEJMoa1114138</w:t>
      </w:r>
    </w:p>
    <w:p w14:paraId="73078344" w14:textId="77777777" w:rsidR="00786EED" w:rsidRPr="00EE1400" w:rsidRDefault="00786EED" w:rsidP="00786EED">
      <w:pPr>
        <w:pStyle w:val="ListParagraph"/>
        <w:numPr>
          <w:ilvl w:val="0"/>
          <w:numId w:val="1"/>
        </w:numPr>
        <w:rPr>
          <w:rFonts w:cstheme="minorHAnsi"/>
          <w:sz w:val="18"/>
          <w:szCs w:val="18"/>
        </w:rPr>
      </w:pPr>
      <w:r w:rsidRPr="00EE1400">
        <w:rPr>
          <w:rFonts w:cstheme="minorHAnsi"/>
          <w:color w:val="212121"/>
          <w:sz w:val="18"/>
          <w:szCs w:val="18"/>
          <w:shd w:val="clear" w:color="auto" w:fill="FFFFFF"/>
        </w:rPr>
        <w:t>McCarthy, Philip L et al. “Lenalidomide after stem-cell transplantation for multiple myeloma.” </w:t>
      </w:r>
      <w:r w:rsidRPr="00EE1400">
        <w:rPr>
          <w:rFonts w:cstheme="minorHAnsi"/>
          <w:i/>
          <w:iCs/>
          <w:color w:val="212121"/>
          <w:sz w:val="18"/>
          <w:szCs w:val="18"/>
          <w:shd w:val="clear" w:color="auto" w:fill="FFFFFF"/>
        </w:rPr>
        <w:t>The New England journal of medicine</w:t>
      </w:r>
      <w:r w:rsidRPr="00EE1400">
        <w:rPr>
          <w:rFonts w:cstheme="minorHAnsi"/>
          <w:color w:val="212121"/>
          <w:sz w:val="18"/>
          <w:szCs w:val="18"/>
          <w:shd w:val="clear" w:color="auto" w:fill="FFFFFF"/>
        </w:rPr>
        <w:t> vol. 366,19 (2012): 1770-81. doi:10.1056/NEJMoa1114083</w:t>
      </w:r>
    </w:p>
    <w:p w14:paraId="0243BFF8" w14:textId="77777777" w:rsidR="00786EED" w:rsidRPr="00EE1400" w:rsidRDefault="00786EED" w:rsidP="00786EED">
      <w:pPr>
        <w:pStyle w:val="ListParagraph"/>
        <w:numPr>
          <w:ilvl w:val="0"/>
          <w:numId w:val="1"/>
        </w:numPr>
        <w:rPr>
          <w:rFonts w:cstheme="minorHAnsi"/>
          <w:sz w:val="18"/>
          <w:szCs w:val="18"/>
        </w:rPr>
      </w:pPr>
      <w:r w:rsidRPr="00EE1400">
        <w:rPr>
          <w:rFonts w:cstheme="minorHAnsi"/>
          <w:color w:val="212121"/>
          <w:sz w:val="18"/>
          <w:szCs w:val="18"/>
          <w:shd w:val="clear" w:color="auto" w:fill="FFFFFF"/>
        </w:rPr>
        <w:t>McCarthy, Philip L et al. “Lenalidomide Maintenance After Autologous Stem-Cell Transplantation in Newly Diagnosed Multiple Myeloma: A Meta-Analysis.” </w:t>
      </w:r>
      <w:r w:rsidRPr="00EE1400">
        <w:rPr>
          <w:rFonts w:cstheme="minorHAnsi"/>
          <w:i/>
          <w:iCs/>
          <w:color w:val="212121"/>
          <w:sz w:val="18"/>
          <w:szCs w:val="18"/>
          <w:shd w:val="clear" w:color="auto" w:fill="FFFFFF"/>
        </w:rPr>
        <w:t xml:space="preserve">Journal of clinical </w:t>
      </w:r>
      <w:proofErr w:type="gramStart"/>
      <w:r w:rsidRPr="00EE1400">
        <w:rPr>
          <w:rFonts w:cstheme="minorHAnsi"/>
          <w:i/>
          <w:iCs/>
          <w:color w:val="212121"/>
          <w:sz w:val="18"/>
          <w:szCs w:val="18"/>
          <w:shd w:val="clear" w:color="auto" w:fill="FFFFFF"/>
        </w:rPr>
        <w:t>oncology :</w:t>
      </w:r>
      <w:proofErr w:type="gramEnd"/>
      <w:r w:rsidRPr="00EE1400">
        <w:rPr>
          <w:rFonts w:cstheme="minorHAnsi"/>
          <w:i/>
          <w:iCs/>
          <w:color w:val="212121"/>
          <w:sz w:val="18"/>
          <w:szCs w:val="18"/>
          <w:shd w:val="clear" w:color="auto" w:fill="FFFFFF"/>
        </w:rPr>
        <w:t xml:space="preserve"> official journal of the American Society of Clinical Oncology</w:t>
      </w:r>
      <w:r w:rsidRPr="00EE1400">
        <w:rPr>
          <w:rFonts w:cstheme="minorHAnsi"/>
          <w:color w:val="212121"/>
          <w:sz w:val="18"/>
          <w:szCs w:val="18"/>
          <w:shd w:val="clear" w:color="auto" w:fill="FFFFFF"/>
        </w:rPr>
        <w:t> vol. 35,29 (2017): 3279-3289. doi:10.1200/JCO.2017.72.6679</w:t>
      </w:r>
    </w:p>
    <w:p w14:paraId="7C282EBC" w14:textId="77777777" w:rsidR="00786EED" w:rsidRPr="00EE1400" w:rsidRDefault="00786EED" w:rsidP="00786EED">
      <w:pPr>
        <w:pStyle w:val="ListParagraph"/>
        <w:numPr>
          <w:ilvl w:val="0"/>
          <w:numId w:val="1"/>
        </w:numPr>
        <w:rPr>
          <w:rFonts w:cstheme="minorHAnsi"/>
          <w:sz w:val="18"/>
          <w:szCs w:val="18"/>
        </w:rPr>
      </w:pPr>
      <w:proofErr w:type="spellStart"/>
      <w:r w:rsidRPr="00EE1400">
        <w:rPr>
          <w:rFonts w:cstheme="minorHAnsi"/>
          <w:color w:val="212121"/>
          <w:sz w:val="18"/>
          <w:szCs w:val="18"/>
          <w:shd w:val="clear" w:color="auto" w:fill="FFFFFF"/>
        </w:rPr>
        <w:t>Sonneveld</w:t>
      </w:r>
      <w:proofErr w:type="spellEnd"/>
      <w:r w:rsidRPr="00EE1400">
        <w:rPr>
          <w:rFonts w:cstheme="minorHAnsi"/>
          <w:color w:val="212121"/>
          <w:sz w:val="18"/>
          <w:szCs w:val="18"/>
          <w:shd w:val="clear" w:color="auto" w:fill="FFFFFF"/>
        </w:rPr>
        <w:t>, Pieter et al. “Bortezomib induction and maintenance treatment in patients with newly diagnosed multiple myeloma: results of the randomized phase III HOVON-65/ GMMG-HD4 trial.” </w:t>
      </w:r>
      <w:r w:rsidRPr="00EE1400">
        <w:rPr>
          <w:rFonts w:cstheme="minorHAnsi"/>
          <w:i/>
          <w:iCs/>
          <w:color w:val="212121"/>
          <w:sz w:val="18"/>
          <w:szCs w:val="18"/>
          <w:shd w:val="clear" w:color="auto" w:fill="FFFFFF"/>
        </w:rPr>
        <w:t xml:space="preserve">Journal of clinical </w:t>
      </w:r>
      <w:proofErr w:type="gramStart"/>
      <w:r w:rsidRPr="00EE1400">
        <w:rPr>
          <w:rFonts w:cstheme="minorHAnsi"/>
          <w:i/>
          <w:iCs/>
          <w:color w:val="212121"/>
          <w:sz w:val="18"/>
          <w:szCs w:val="18"/>
          <w:shd w:val="clear" w:color="auto" w:fill="FFFFFF"/>
        </w:rPr>
        <w:t>oncology :</w:t>
      </w:r>
      <w:proofErr w:type="gramEnd"/>
      <w:r w:rsidRPr="00EE1400">
        <w:rPr>
          <w:rFonts w:cstheme="minorHAnsi"/>
          <w:i/>
          <w:iCs/>
          <w:color w:val="212121"/>
          <w:sz w:val="18"/>
          <w:szCs w:val="18"/>
          <w:shd w:val="clear" w:color="auto" w:fill="FFFFFF"/>
        </w:rPr>
        <w:t xml:space="preserve"> official journal of the American Society of Clinical Oncology</w:t>
      </w:r>
      <w:r w:rsidRPr="00EE1400">
        <w:rPr>
          <w:rFonts w:cstheme="minorHAnsi"/>
          <w:color w:val="212121"/>
          <w:sz w:val="18"/>
          <w:szCs w:val="18"/>
          <w:shd w:val="clear" w:color="auto" w:fill="FFFFFF"/>
        </w:rPr>
        <w:t> vol. 30,24 (2012): 2946-55. doi:10.1200/JCO.2011.39.6820</w:t>
      </w:r>
    </w:p>
    <w:p w14:paraId="2C95D17F" w14:textId="77777777" w:rsidR="00786EED" w:rsidRPr="00EE1400" w:rsidRDefault="00786EED" w:rsidP="00786EED">
      <w:pPr>
        <w:pStyle w:val="ListParagraph"/>
        <w:numPr>
          <w:ilvl w:val="0"/>
          <w:numId w:val="1"/>
        </w:numPr>
        <w:rPr>
          <w:rFonts w:cstheme="minorHAnsi"/>
          <w:sz w:val="18"/>
          <w:szCs w:val="18"/>
        </w:rPr>
      </w:pPr>
      <w:proofErr w:type="spellStart"/>
      <w:r w:rsidRPr="00EE1400">
        <w:rPr>
          <w:rFonts w:cstheme="minorHAnsi"/>
          <w:color w:val="212121"/>
          <w:sz w:val="18"/>
          <w:szCs w:val="18"/>
          <w:shd w:val="clear" w:color="auto" w:fill="FFFFFF"/>
        </w:rPr>
        <w:t>Neben</w:t>
      </w:r>
      <w:proofErr w:type="spellEnd"/>
      <w:r w:rsidRPr="00EE1400">
        <w:rPr>
          <w:rFonts w:cstheme="minorHAnsi"/>
          <w:color w:val="212121"/>
          <w:sz w:val="18"/>
          <w:szCs w:val="18"/>
          <w:shd w:val="clear" w:color="auto" w:fill="FFFFFF"/>
        </w:rPr>
        <w:t>, Kai et al. “Administration of bortezomib before and after autologous stem cell transplantation improves outcome in multiple myeloma patients with deletion 17p.” </w:t>
      </w:r>
      <w:r w:rsidRPr="00EE1400">
        <w:rPr>
          <w:rFonts w:cstheme="minorHAnsi"/>
          <w:i/>
          <w:iCs/>
          <w:color w:val="212121"/>
          <w:sz w:val="18"/>
          <w:szCs w:val="18"/>
          <w:shd w:val="clear" w:color="auto" w:fill="FFFFFF"/>
        </w:rPr>
        <w:t>Blood</w:t>
      </w:r>
      <w:r w:rsidRPr="00EE1400">
        <w:rPr>
          <w:rFonts w:cstheme="minorHAnsi"/>
          <w:color w:val="212121"/>
          <w:sz w:val="18"/>
          <w:szCs w:val="18"/>
          <w:shd w:val="clear" w:color="auto" w:fill="FFFFFF"/>
        </w:rPr>
        <w:t> vol. 119,4 (2012): 940-8. doi:10.1182/blood-2011-09-379164</w:t>
      </w:r>
    </w:p>
    <w:p w14:paraId="0A92AE9C" w14:textId="77777777" w:rsidR="00786EED" w:rsidRPr="00EE1400" w:rsidRDefault="00786EED" w:rsidP="00786EED">
      <w:pPr>
        <w:pStyle w:val="ListParagraph"/>
        <w:numPr>
          <w:ilvl w:val="0"/>
          <w:numId w:val="1"/>
        </w:numPr>
        <w:rPr>
          <w:rFonts w:cstheme="minorHAnsi"/>
          <w:sz w:val="18"/>
          <w:szCs w:val="18"/>
        </w:rPr>
      </w:pPr>
      <w:proofErr w:type="spellStart"/>
      <w:r w:rsidRPr="00EE1400">
        <w:rPr>
          <w:rFonts w:cstheme="minorHAnsi"/>
          <w:color w:val="212121"/>
          <w:sz w:val="18"/>
          <w:szCs w:val="18"/>
          <w:shd w:val="clear" w:color="auto" w:fill="FFFFFF"/>
        </w:rPr>
        <w:t>Dimopoulos</w:t>
      </w:r>
      <w:proofErr w:type="spellEnd"/>
      <w:r w:rsidRPr="00EE1400">
        <w:rPr>
          <w:rFonts w:cstheme="minorHAnsi"/>
          <w:color w:val="212121"/>
          <w:sz w:val="18"/>
          <w:szCs w:val="18"/>
          <w:shd w:val="clear" w:color="auto" w:fill="FFFFFF"/>
        </w:rPr>
        <w:t xml:space="preserve">, </w:t>
      </w:r>
      <w:proofErr w:type="spellStart"/>
      <w:r w:rsidRPr="00EE1400">
        <w:rPr>
          <w:rFonts w:cstheme="minorHAnsi"/>
          <w:color w:val="212121"/>
          <w:sz w:val="18"/>
          <w:szCs w:val="18"/>
          <w:shd w:val="clear" w:color="auto" w:fill="FFFFFF"/>
        </w:rPr>
        <w:t>Meletios</w:t>
      </w:r>
      <w:proofErr w:type="spellEnd"/>
      <w:r w:rsidRPr="00EE1400">
        <w:rPr>
          <w:rFonts w:cstheme="minorHAnsi"/>
          <w:color w:val="212121"/>
          <w:sz w:val="18"/>
          <w:szCs w:val="18"/>
          <w:shd w:val="clear" w:color="auto" w:fill="FFFFFF"/>
        </w:rPr>
        <w:t xml:space="preserve"> A et al. “Oral </w:t>
      </w:r>
      <w:proofErr w:type="spellStart"/>
      <w:r w:rsidRPr="00EE1400">
        <w:rPr>
          <w:rFonts w:cstheme="minorHAnsi"/>
          <w:color w:val="212121"/>
          <w:sz w:val="18"/>
          <w:szCs w:val="18"/>
          <w:shd w:val="clear" w:color="auto" w:fill="FFFFFF"/>
        </w:rPr>
        <w:t>ixazomib</w:t>
      </w:r>
      <w:proofErr w:type="spellEnd"/>
      <w:r w:rsidRPr="00EE1400">
        <w:rPr>
          <w:rFonts w:cstheme="minorHAnsi"/>
          <w:color w:val="212121"/>
          <w:sz w:val="18"/>
          <w:szCs w:val="18"/>
          <w:shd w:val="clear" w:color="auto" w:fill="FFFFFF"/>
        </w:rPr>
        <w:t xml:space="preserve"> maintenance following autologous stem cell transplantation (TOURMALINE-MM3): a double-blind, randomised, placebo-controlled phase 3 trial.” </w:t>
      </w:r>
      <w:r w:rsidRPr="00EE1400">
        <w:rPr>
          <w:rFonts w:cstheme="minorHAnsi"/>
          <w:i/>
          <w:iCs/>
          <w:color w:val="212121"/>
          <w:sz w:val="18"/>
          <w:szCs w:val="18"/>
          <w:shd w:val="clear" w:color="auto" w:fill="FFFFFF"/>
        </w:rPr>
        <w:t>Lancet (London, England)</w:t>
      </w:r>
      <w:r w:rsidRPr="00EE1400">
        <w:rPr>
          <w:rFonts w:cstheme="minorHAnsi"/>
          <w:color w:val="212121"/>
          <w:sz w:val="18"/>
          <w:szCs w:val="18"/>
          <w:shd w:val="clear" w:color="auto" w:fill="FFFFFF"/>
        </w:rPr>
        <w:t> vol. 393,10168 (2019): 253-264. doi:10.1016/S0140-6736(18)33003-4</w:t>
      </w:r>
    </w:p>
    <w:p w14:paraId="3841565D" w14:textId="77777777" w:rsidR="00786EED" w:rsidRPr="00EE1400" w:rsidRDefault="00786EED" w:rsidP="00786EED">
      <w:pPr>
        <w:pStyle w:val="ListParagraph"/>
        <w:numPr>
          <w:ilvl w:val="0"/>
          <w:numId w:val="1"/>
        </w:numPr>
        <w:rPr>
          <w:rFonts w:cstheme="minorHAnsi"/>
          <w:sz w:val="18"/>
          <w:szCs w:val="18"/>
        </w:rPr>
      </w:pPr>
      <w:proofErr w:type="spellStart"/>
      <w:r w:rsidRPr="00EE1400">
        <w:rPr>
          <w:rFonts w:cstheme="minorHAnsi"/>
          <w:color w:val="212121"/>
          <w:sz w:val="18"/>
          <w:szCs w:val="18"/>
          <w:shd w:val="clear" w:color="auto" w:fill="FFFFFF"/>
        </w:rPr>
        <w:t>Cherniawsky</w:t>
      </w:r>
      <w:proofErr w:type="spellEnd"/>
      <w:r w:rsidRPr="00EE1400">
        <w:rPr>
          <w:rFonts w:cstheme="minorHAnsi"/>
          <w:color w:val="212121"/>
          <w:sz w:val="18"/>
          <w:szCs w:val="18"/>
          <w:shd w:val="clear" w:color="auto" w:fill="FFFFFF"/>
        </w:rPr>
        <w:t>, Hannah M et al. “The survival impact of maintenance lenalidomide: an analysis of real-world data from the Canadian Myeloma Research Group national database.” </w:t>
      </w:r>
      <w:proofErr w:type="spellStart"/>
      <w:r w:rsidRPr="00EE1400">
        <w:rPr>
          <w:rFonts w:cstheme="minorHAnsi"/>
          <w:i/>
          <w:iCs/>
          <w:color w:val="212121"/>
          <w:sz w:val="18"/>
          <w:szCs w:val="18"/>
          <w:shd w:val="clear" w:color="auto" w:fill="FFFFFF"/>
        </w:rPr>
        <w:t>Haematologica</w:t>
      </w:r>
      <w:proofErr w:type="spellEnd"/>
      <w:r w:rsidRPr="00EE1400">
        <w:rPr>
          <w:rFonts w:cstheme="minorHAnsi"/>
          <w:color w:val="212121"/>
          <w:sz w:val="18"/>
          <w:szCs w:val="18"/>
          <w:shd w:val="clear" w:color="auto" w:fill="FFFFFF"/>
        </w:rPr>
        <w:t> vol. Online ahead of print 10.3324/haematol.2020.259093. 13 Oct. 2020, doi:10.3324/haematol.2020.259093</w:t>
      </w:r>
    </w:p>
    <w:p w14:paraId="08EEB822" w14:textId="3507346B" w:rsidR="0005733C" w:rsidRPr="00EE1400" w:rsidRDefault="0005733C" w:rsidP="00786EED">
      <w:pPr>
        <w:pStyle w:val="ListParagraph"/>
        <w:numPr>
          <w:ilvl w:val="0"/>
          <w:numId w:val="1"/>
        </w:numPr>
        <w:rPr>
          <w:rFonts w:cstheme="minorHAnsi"/>
          <w:sz w:val="18"/>
          <w:szCs w:val="18"/>
        </w:rPr>
      </w:pPr>
      <w:r w:rsidRPr="00EE1400">
        <w:rPr>
          <w:rFonts w:cstheme="minorHAnsi"/>
          <w:color w:val="212121"/>
          <w:sz w:val="18"/>
          <w:szCs w:val="18"/>
          <w:shd w:val="clear" w:color="auto" w:fill="FFFFFF"/>
        </w:rPr>
        <w:t xml:space="preserve">Duggan, Peter et al. </w:t>
      </w:r>
      <w:proofErr w:type="gramStart"/>
      <w:r w:rsidRPr="00EE1400">
        <w:rPr>
          <w:rFonts w:cstheme="minorHAnsi"/>
          <w:color w:val="212121"/>
          <w:sz w:val="18"/>
          <w:szCs w:val="18"/>
          <w:shd w:val="clear" w:color="auto" w:fill="FFFFFF"/>
        </w:rPr>
        <w:t>“ Is</w:t>
      </w:r>
      <w:proofErr w:type="gramEnd"/>
      <w:r w:rsidRPr="00EE1400">
        <w:rPr>
          <w:rFonts w:cstheme="minorHAnsi"/>
          <w:color w:val="212121"/>
          <w:sz w:val="18"/>
          <w:szCs w:val="18"/>
          <w:shd w:val="clear" w:color="auto" w:fill="FFFFFF"/>
        </w:rPr>
        <w:t xml:space="preserve"> Tandem  ASCT needed in MM patients with High Risk Cytogenetics in the Era of Maintenance Therapy? Results from the Canadian Myeloma Research Group Database” ASH 2020. Poster Abstract no 2417</w:t>
      </w:r>
    </w:p>
    <w:p w14:paraId="5475A838" w14:textId="49478911" w:rsidR="002A393A" w:rsidRPr="00EE1400" w:rsidRDefault="002A393A" w:rsidP="00786EED">
      <w:pPr>
        <w:pStyle w:val="ListParagraph"/>
        <w:numPr>
          <w:ilvl w:val="0"/>
          <w:numId w:val="1"/>
        </w:numPr>
        <w:rPr>
          <w:rFonts w:cstheme="minorHAnsi"/>
          <w:sz w:val="18"/>
          <w:szCs w:val="18"/>
        </w:rPr>
      </w:pPr>
      <w:r w:rsidRPr="00EE1400">
        <w:rPr>
          <w:rFonts w:cstheme="minorHAnsi"/>
          <w:color w:val="212121"/>
          <w:sz w:val="18"/>
          <w:szCs w:val="18"/>
          <w:shd w:val="clear" w:color="auto" w:fill="FFFFFF"/>
        </w:rPr>
        <w:t>Rajkumar, S Vincent et al. “Consensus recommendations for the uniform reporting of clinical trials: report of the International Myeloma Workshop Consensus Panel 1.” </w:t>
      </w:r>
      <w:r w:rsidRPr="00EE1400">
        <w:rPr>
          <w:rFonts w:cstheme="minorHAnsi"/>
          <w:i/>
          <w:iCs/>
          <w:color w:val="212121"/>
          <w:sz w:val="18"/>
          <w:szCs w:val="18"/>
          <w:shd w:val="clear" w:color="auto" w:fill="FFFFFF"/>
        </w:rPr>
        <w:t>Blood</w:t>
      </w:r>
      <w:r w:rsidRPr="00EE1400">
        <w:rPr>
          <w:rFonts w:cstheme="minorHAnsi"/>
          <w:color w:val="212121"/>
          <w:sz w:val="18"/>
          <w:szCs w:val="18"/>
          <w:shd w:val="clear" w:color="auto" w:fill="FFFFFF"/>
        </w:rPr>
        <w:t> vol. 117,18 (2011): 4691-5. doi:10.1182/blood-2010-10-299487</w:t>
      </w:r>
    </w:p>
    <w:p w14:paraId="4BC52B58" w14:textId="72212606" w:rsidR="002A393A" w:rsidRPr="00EE1400" w:rsidRDefault="002A393A" w:rsidP="00786EED">
      <w:pPr>
        <w:pStyle w:val="ListParagraph"/>
        <w:numPr>
          <w:ilvl w:val="0"/>
          <w:numId w:val="1"/>
        </w:numPr>
        <w:rPr>
          <w:rFonts w:cstheme="minorHAnsi"/>
          <w:sz w:val="18"/>
          <w:szCs w:val="18"/>
        </w:rPr>
      </w:pPr>
      <w:r w:rsidRPr="00EE1400">
        <w:rPr>
          <w:rFonts w:cstheme="minorHAnsi"/>
          <w:color w:val="212121"/>
          <w:sz w:val="18"/>
          <w:szCs w:val="18"/>
          <w:shd w:val="clear" w:color="auto" w:fill="FFFFFF"/>
        </w:rPr>
        <w:t>Durie, B G M et al. “International uniform response criteria for multiple myeloma.” </w:t>
      </w:r>
      <w:r w:rsidRPr="00EE1400">
        <w:rPr>
          <w:rFonts w:cstheme="minorHAnsi"/>
          <w:i/>
          <w:iCs/>
          <w:color w:val="212121"/>
          <w:sz w:val="18"/>
          <w:szCs w:val="18"/>
          <w:shd w:val="clear" w:color="auto" w:fill="FFFFFF"/>
        </w:rPr>
        <w:t>Leukemia</w:t>
      </w:r>
      <w:r w:rsidRPr="00EE1400">
        <w:rPr>
          <w:rFonts w:cstheme="minorHAnsi"/>
          <w:color w:val="212121"/>
          <w:sz w:val="18"/>
          <w:szCs w:val="18"/>
          <w:shd w:val="clear" w:color="auto" w:fill="FFFFFF"/>
        </w:rPr>
        <w:t> vol. 20,9 (2006): 1467-73. doi:10.1038/sj.leu.2404284</w:t>
      </w:r>
    </w:p>
    <w:p w14:paraId="7C053EE2" w14:textId="77777777" w:rsidR="00786EED" w:rsidRPr="00EE1400" w:rsidRDefault="00786EED">
      <w:pPr>
        <w:rPr>
          <w:sz w:val="18"/>
          <w:szCs w:val="18"/>
        </w:rPr>
      </w:pPr>
    </w:p>
    <w:sectPr w:rsidR="00786EED" w:rsidRPr="00EE1400" w:rsidSect="00786EE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F5368"/>
    <w:multiLevelType w:val="hybridMultilevel"/>
    <w:tmpl w:val="7DFA5A40"/>
    <w:lvl w:ilvl="0" w:tplc="67A814E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BC67596"/>
    <w:multiLevelType w:val="hybridMultilevel"/>
    <w:tmpl w:val="6E122C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A0FAC"/>
    <w:multiLevelType w:val="hybridMultilevel"/>
    <w:tmpl w:val="01A44F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EED"/>
    <w:rsid w:val="00024D76"/>
    <w:rsid w:val="00033BDD"/>
    <w:rsid w:val="0005733C"/>
    <w:rsid w:val="00072728"/>
    <w:rsid w:val="000A1478"/>
    <w:rsid w:val="000C032B"/>
    <w:rsid w:val="000F7743"/>
    <w:rsid w:val="0011150B"/>
    <w:rsid w:val="00122ADF"/>
    <w:rsid w:val="0014304C"/>
    <w:rsid w:val="001776C7"/>
    <w:rsid w:val="001828F8"/>
    <w:rsid w:val="00183F8D"/>
    <w:rsid w:val="001B0ACE"/>
    <w:rsid w:val="001F13FF"/>
    <w:rsid w:val="00260792"/>
    <w:rsid w:val="00266563"/>
    <w:rsid w:val="00290964"/>
    <w:rsid w:val="002A393A"/>
    <w:rsid w:val="002A5616"/>
    <w:rsid w:val="002B0230"/>
    <w:rsid w:val="002B2B5C"/>
    <w:rsid w:val="002F78CD"/>
    <w:rsid w:val="0030626C"/>
    <w:rsid w:val="00312D10"/>
    <w:rsid w:val="00361A52"/>
    <w:rsid w:val="0039260A"/>
    <w:rsid w:val="003C5409"/>
    <w:rsid w:val="003D15ED"/>
    <w:rsid w:val="003D17FE"/>
    <w:rsid w:val="003E2FF0"/>
    <w:rsid w:val="003E48F9"/>
    <w:rsid w:val="003F21E9"/>
    <w:rsid w:val="00400447"/>
    <w:rsid w:val="00415134"/>
    <w:rsid w:val="00467A6C"/>
    <w:rsid w:val="00477302"/>
    <w:rsid w:val="004D5C89"/>
    <w:rsid w:val="00513D01"/>
    <w:rsid w:val="00517732"/>
    <w:rsid w:val="005A4385"/>
    <w:rsid w:val="005B005B"/>
    <w:rsid w:val="005B0307"/>
    <w:rsid w:val="005C79B9"/>
    <w:rsid w:val="00611F3A"/>
    <w:rsid w:val="00625892"/>
    <w:rsid w:val="00651F94"/>
    <w:rsid w:val="0067097E"/>
    <w:rsid w:val="00683378"/>
    <w:rsid w:val="006879A0"/>
    <w:rsid w:val="006C3E27"/>
    <w:rsid w:val="006C5379"/>
    <w:rsid w:val="006D73CF"/>
    <w:rsid w:val="006E5B65"/>
    <w:rsid w:val="006E79AF"/>
    <w:rsid w:val="00701B31"/>
    <w:rsid w:val="007074A6"/>
    <w:rsid w:val="00710BCF"/>
    <w:rsid w:val="00785EDD"/>
    <w:rsid w:val="00786EED"/>
    <w:rsid w:val="00793F37"/>
    <w:rsid w:val="007C2067"/>
    <w:rsid w:val="007C5EAF"/>
    <w:rsid w:val="007E79BD"/>
    <w:rsid w:val="007F5AF6"/>
    <w:rsid w:val="00801576"/>
    <w:rsid w:val="008034A3"/>
    <w:rsid w:val="00832B30"/>
    <w:rsid w:val="00832FCC"/>
    <w:rsid w:val="00833867"/>
    <w:rsid w:val="0085082A"/>
    <w:rsid w:val="0086479E"/>
    <w:rsid w:val="008B2C29"/>
    <w:rsid w:val="008E3E08"/>
    <w:rsid w:val="008F171D"/>
    <w:rsid w:val="009104C3"/>
    <w:rsid w:val="009326D7"/>
    <w:rsid w:val="00985BA9"/>
    <w:rsid w:val="009B7715"/>
    <w:rsid w:val="009E7450"/>
    <w:rsid w:val="009F566C"/>
    <w:rsid w:val="00A02444"/>
    <w:rsid w:val="00A173D9"/>
    <w:rsid w:val="00A35FB3"/>
    <w:rsid w:val="00A748D1"/>
    <w:rsid w:val="00AA5B6E"/>
    <w:rsid w:val="00B26796"/>
    <w:rsid w:val="00BB5394"/>
    <w:rsid w:val="00C31594"/>
    <w:rsid w:val="00C57936"/>
    <w:rsid w:val="00C60941"/>
    <w:rsid w:val="00C9226D"/>
    <w:rsid w:val="00C95EFD"/>
    <w:rsid w:val="00CA17C6"/>
    <w:rsid w:val="00CD4B85"/>
    <w:rsid w:val="00D01829"/>
    <w:rsid w:val="00D02A41"/>
    <w:rsid w:val="00D06960"/>
    <w:rsid w:val="00D15544"/>
    <w:rsid w:val="00D353FB"/>
    <w:rsid w:val="00D356D3"/>
    <w:rsid w:val="00D470F2"/>
    <w:rsid w:val="00D90872"/>
    <w:rsid w:val="00DA0429"/>
    <w:rsid w:val="00DA3795"/>
    <w:rsid w:val="00DD5880"/>
    <w:rsid w:val="00DF2B43"/>
    <w:rsid w:val="00E243BC"/>
    <w:rsid w:val="00E24693"/>
    <w:rsid w:val="00E32E8A"/>
    <w:rsid w:val="00E5563D"/>
    <w:rsid w:val="00E612B4"/>
    <w:rsid w:val="00E6369C"/>
    <w:rsid w:val="00E85361"/>
    <w:rsid w:val="00EB45A6"/>
    <w:rsid w:val="00EE1400"/>
    <w:rsid w:val="00F03E86"/>
    <w:rsid w:val="00F314AE"/>
    <w:rsid w:val="00F40942"/>
    <w:rsid w:val="00F43496"/>
    <w:rsid w:val="00F567EF"/>
    <w:rsid w:val="00F61332"/>
    <w:rsid w:val="00F82059"/>
    <w:rsid w:val="00F85CA9"/>
    <w:rsid w:val="00F91A14"/>
    <w:rsid w:val="00FB59C0"/>
    <w:rsid w:val="00FC0B90"/>
    <w:rsid w:val="00FC258F"/>
    <w:rsid w:val="00FD2FCC"/>
    <w:rsid w:val="00FD4563"/>
    <w:rsid w:val="00FD61F8"/>
    <w:rsid w:val="00FE0106"/>
    <w:rsid w:val="00FE437A"/>
    <w:rsid w:val="00FF34B9"/>
    <w:rsid w:val="00FF462D"/>
    <w:rsid w:val="00FF4F7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BD78"/>
  <w15:docId w15:val="{5E5507B4-D597-A345-A198-032BED72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E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EED"/>
    <w:pPr>
      <w:ind w:left="720"/>
      <w:contextualSpacing/>
    </w:pPr>
  </w:style>
  <w:style w:type="paragraph" w:styleId="NormalWeb">
    <w:name w:val="Normal (Web)"/>
    <w:basedOn w:val="Normal"/>
    <w:uiPriority w:val="99"/>
    <w:semiHidden/>
    <w:unhideWhenUsed/>
    <w:rsid w:val="00786EE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104C3"/>
    <w:rPr>
      <w:sz w:val="16"/>
      <w:szCs w:val="16"/>
    </w:rPr>
  </w:style>
  <w:style w:type="paragraph" w:styleId="CommentText">
    <w:name w:val="annotation text"/>
    <w:basedOn w:val="Normal"/>
    <w:link w:val="CommentTextChar"/>
    <w:uiPriority w:val="99"/>
    <w:semiHidden/>
    <w:unhideWhenUsed/>
    <w:rsid w:val="009104C3"/>
    <w:pPr>
      <w:spacing w:line="240" w:lineRule="auto"/>
    </w:pPr>
    <w:rPr>
      <w:sz w:val="20"/>
      <w:szCs w:val="20"/>
    </w:rPr>
  </w:style>
  <w:style w:type="character" w:customStyle="1" w:styleId="CommentTextChar">
    <w:name w:val="Comment Text Char"/>
    <w:basedOn w:val="DefaultParagraphFont"/>
    <w:link w:val="CommentText"/>
    <w:uiPriority w:val="99"/>
    <w:semiHidden/>
    <w:rsid w:val="009104C3"/>
    <w:rPr>
      <w:sz w:val="20"/>
      <w:szCs w:val="20"/>
    </w:rPr>
  </w:style>
  <w:style w:type="paragraph" w:styleId="CommentSubject">
    <w:name w:val="annotation subject"/>
    <w:basedOn w:val="CommentText"/>
    <w:next w:val="CommentText"/>
    <w:link w:val="CommentSubjectChar"/>
    <w:uiPriority w:val="99"/>
    <w:semiHidden/>
    <w:unhideWhenUsed/>
    <w:rsid w:val="009104C3"/>
    <w:rPr>
      <w:b/>
      <w:bCs/>
    </w:rPr>
  </w:style>
  <w:style w:type="character" w:customStyle="1" w:styleId="CommentSubjectChar">
    <w:name w:val="Comment Subject Char"/>
    <w:basedOn w:val="CommentTextChar"/>
    <w:link w:val="CommentSubject"/>
    <w:uiPriority w:val="99"/>
    <w:semiHidden/>
    <w:rsid w:val="009104C3"/>
    <w:rPr>
      <w:b/>
      <w:bCs/>
      <w:sz w:val="20"/>
      <w:szCs w:val="20"/>
    </w:rPr>
  </w:style>
  <w:style w:type="paragraph" w:styleId="BalloonText">
    <w:name w:val="Balloon Text"/>
    <w:basedOn w:val="Normal"/>
    <w:link w:val="BalloonTextChar"/>
    <w:uiPriority w:val="99"/>
    <w:semiHidden/>
    <w:unhideWhenUsed/>
    <w:rsid w:val="00910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4C3"/>
    <w:rPr>
      <w:rFonts w:ascii="Segoe UI" w:hAnsi="Segoe UI" w:cs="Segoe UI"/>
      <w:sz w:val="18"/>
      <w:szCs w:val="18"/>
    </w:rPr>
  </w:style>
  <w:style w:type="paragraph" w:styleId="Revision">
    <w:name w:val="Revision"/>
    <w:hidden/>
    <w:uiPriority w:val="99"/>
    <w:semiHidden/>
    <w:rsid w:val="008034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0388A-29AC-4805-92FE-364929D52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Pages>
  <Words>2840</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dc:creator>
  <cp:lastModifiedBy>AQ QA</cp:lastModifiedBy>
  <cp:revision>90</cp:revision>
  <dcterms:created xsi:type="dcterms:W3CDTF">2021-02-26T16:51:00Z</dcterms:created>
  <dcterms:modified xsi:type="dcterms:W3CDTF">2021-05-13T20:21:00Z</dcterms:modified>
</cp:coreProperties>
</file>