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72B6F" w14:textId="4061BA72" w:rsidR="00106B04" w:rsidRPr="004D69D2" w:rsidRDefault="004D69D2" w:rsidP="004D69D2">
      <w:pPr>
        <w:jc w:val="center"/>
        <w:rPr>
          <w:rFonts w:ascii="Times New Roman" w:hAnsi="Times New Roman" w:cs="Times New Roman"/>
          <w:b/>
          <w:bCs/>
          <w:sz w:val="22"/>
          <w:szCs w:val="22"/>
          <w:lang w:val="en-CA"/>
        </w:rPr>
      </w:pPr>
      <w:r w:rsidRPr="00B71169">
        <w:rPr>
          <w:rFonts w:ascii="Times New Roman" w:hAnsi="Times New Roman" w:cs="Times New Roman"/>
          <w:b/>
          <w:bCs/>
          <w:sz w:val="22"/>
          <w:szCs w:val="22"/>
          <w:lang w:val="en-CA"/>
        </w:rPr>
        <w:t xml:space="preserve">Serologic </w:t>
      </w:r>
      <w:r w:rsidR="00B71169">
        <w:rPr>
          <w:rFonts w:ascii="Times New Roman" w:hAnsi="Times New Roman" w:cs="Times New Roman"/>
          <w:b/>
          <w:bCs/>
          <w:sz w:val="22"/>
          <w:szCs w:val="22"/>
          <w:lang w:val="en-CA"/>
        </w:rPr>
        <w:t>R</w:t>
      </w:r>
      <w:r w:rsidRPr="00B71169">
        <w:rPr>
          <w:rFonts w:ascii="Times New Roman" w:hAnsi="Times New Roman" w:cs="Times New Roman"/>
          <w:b/>
          <w:bCs/>
          <w:sz w:val="22"/>
          <w:szCs w:val="22"/>
          <w:lang w:val="en-CA"/>
        </w:rPr>
        <w:t xml:space="preserve">esponse to </w:t>
      </w:r>
      <w:r w:rsidR="00B71169">
        <w:rPr>
          <w:rFonts w:ascii="Times New Roman" w:hAnsi="Times New Roman" w:cs="Times New Roman"/>
          <w:b/>
          <w:bCs/>
          <w:sz w:val="22"/>
          <w:szCs w:val="22"/>
          <w:lang w:val="en-CA"/>
        </w:rPr>
        <w:t>V</w:t>
      </w:r>
      <w:r w:rsidRPr="00B71169">
        <w:rPr>
          <w:rFonts w:ascii="Times New Roman" w:hAnsi="Times New Roman" w:cs="Times New Roman"/>
          <w:b/>
          <w:bCs/>
          <w:sz w:val="22"/>
          <w:szCs w:val="22"/>
          <w:lang w:val="en-CA"/>
        </w:rPr>
        <w:t>accine for</w:t>
      </w:r>
      <w:r w:rsidR="00322249">
        <w:rPr>
          <w:rFonts w:ascii="Times New Roman" w:hAnsi="Times New Roman" w:cs="Times New Roman"/>
          <w:b/>
          <w:bCs/>
          <w:sz w:val="22"/>
          <w:szCs w:val="22"/>
          <w:lang w:val="en-CA"/>
        </w:rPr>
        <w:t xml:space="preserve"> COVID-19</w:t>
      </w:r>
      <w:r w:rsidRPr="00B71169">
        <w:rPr>
          <w:rFonts w:ascii="Times New Roman" w:hAnsi="Times New Roman" w:cs="Times New Roman"/>
          <w:b/>
          <w:bCs/>
          <w:sz w:val="22"/>
          <w:szCs w:val="22"/>
          <w:lang w:val="en-CA"/>
        </w:rPr>
        <w:t xml:space="preserve"> in </w:t>
      </w:r>
      <w:r w:rsidR="00B71169">
        <w:rPr>
          <w:rFonts w:ascii="Times New Roman" w:hAnsi="Times New Roman" w:cs="Times New Roman"/>
          <w:b/>
          <w:bCs/>
          <w:sz w:val="22"/>
          <w:szCs w:val="22"/>
          <w:lang w:val="en-CA"/>
        </w:rPr>
        <w:t>P</w:t>
      </w:r>
      <w:r w:rsidRPr="00B71169">
        <w:rPr>
          <w:rFonts w:ascii="Times New Roman" w:hAnsi="Times New Roman" w:cs="Times New Roman"/>
          <w:b/>
          <w:bCs/>
          <w:sz w:val="22"/>
          <w:szCs w:val="22"/>
          <w:lang w:val="en-CA"/>
        </w:rPr>
        <w:t xml:space="preserve">atients with </w:t>
      </w:r>
      <w:r w:rsidR="00B71169">
        <w:rPr>
          <w:rFonts w:ascii="Times New Roman" w:hAnsi="Times New Roman" w:cs="Times New Roman"/>
          <w:b/>
          <w:bCs/>
          <w:sz w:val="22"/>
          <w:szCs w:val="22"/>
          <w:lang w:val="en-CA"/>
        </w:rPr>
        <w:t>Hematolog</w:t>
      </w:r>
      <w:r w:rsidR="00FE5CFB">
        <w:rPr>
          <w:rFonts w:ascii="Times New Roman" w:hAnsi="Times New Roman" w:cs="Times New Roman"/>
          <w:b/>
          <w:bCs/>
          <w:sz w:val="22"/>
          <w:szCs w:val="22"/>
          <w:lang w:val="en-CA"/>
        </w:rPr>
        <w:t>ic</w:t>
      </w:r>
      <w:r w:rsidR="00B71169">
        <w:rPr>
          <w:rFonts w:ascii="Times New Roman" w:hAnsi="Times New Roman" w:cs="Times New Roman"/>
          <w:b/>
          <w:bCs/>
          <w:sz w:val="22"/>
          <w:szCs w:val="22"/>
          <w:lang w:val="en-CA"/>
        </w:rPr>
        <w:t xml:space="preserve"> Malignancy</w:t>
      </w:r>
    </w:p>
    <w:p w14:paraId="1D4A2894" w14:textId="77777777" w:rsidR="00106B04" w:rsidRPr="00CD384F" w:rsidRDefault="00106B04" w:rsidP="00106B04">
      <w:pPr>
        <w:rPr>
          <w:rFonts w:ascii="Times New Roman" w:hAnsi="Times New Roman" w:cs="Times New Roman"/>
          <w:bCs/>
          <w:sz w:val="22"/>
          <w:szCs w:val="22"/>
          <w:lang w:val="en-CA"/>
        </w:rPr>
      </w:pPr>
    </w:p>
    <w:p w14:paraId="410374C8" w14:textId="251FFED5" w:rsidR="00106B04" w:rsidRPr="00B71169" w:rsidRDefault="00106B04" w:rsidP="00106B04">
      <w:pPr>
        <w:rPr>
          <w:rFonts w:ascii="Times New Roman" w:hAnsi="Times New Roman" w:cs="Times New Roman"/>
          <w:bCs/>
          <w:sz w:val="22"/>
          <w:szCs w:val="22"/>
          <w:lang w:val="en-CA"/>
        </w:rPr>
      </w:pPr>
      <w:r w:rsidRPr="00B71169">
        <w:rPr>
          <w:rFonts w:ascii="Times New Roman" w:hAnsi="Times New Roman" w:cs="Times New Roman"/>
          <w:b/>
          <w:bCs/>
          <w:sz w:val="22"/>
          <w:szCs w:val="22"/>
          <w:lang w:val="en-CA"/>
        </w:rPr>
        <w:t>Principal Investigator</w:t>
      </w:r>
      <w:r w:rsidRPr="00B71169">
        <w:rPr>
          <w:rFonts w:ascii="Times New Roman" w:hAnsi="Times New Roman" w:cs="Times New Roman"/>
          <w:bCs/>
          <w:sz w:val="22"/>
          <w:szCs w:val="22"/>
          <w:lang w:val="en-CA"/>
        </w:rPr>
        <w:t>:</w:t>
      </w:r>
      <w:r w:rsidR="00EE188C" w:rsidRPr="00B71169">
        <w:rPr>
          <w:rFonts w:ascii="Times New Roman" w:hAnsi="Times New Roman" w:cs="Times New Roman"/>
          <w:bCs/>
          <w:sz w:val="22"/>
          <w:szCs w:val="22"/>
          <w:lang w:val="en-CA"/>
        </w:rPr>
        <w:t xml:space="preserve"> </w:t>
      </w:r>
      <w:r w:rsidR="004F21CF">
        <w:rPr>
          <w:rFonts w:ascii="Times New Roman" w:hAnsi="Times New Roman" w:cs="Times New Roman"/>
          <w:bCs/>
          <w:sz w:val="22"/>
          <w:szCs w:val="22"/>
          <w:lang w:val="en-CA"/>
        </w:rPr>
        <w:t>C</w:t>
      </w:r>
      <w:r w:rsidR="00136067">
        <w:rPr>
          <w:rFonts w:ascii="Times New Roman" w:hAnsi="Times New Roman" w:cs="Times New Roman"/>
          <w:bCs/>
          <w:sz w:val="22"/>
          <w:szCs w:val="22"/>
          <w:lang w:val="en-CA"/>
        </w:rPr>
        <w:t>.</w:t>
      </w:r>
      <w:r w:rsidR="004F21CF">
        <w:rPr>
          <w:rFonts w:ascii="Times New Roman" w:hAnsi="Times New Roman" w:cs="Times New Roman"/>
          <w:bCs/>
          <w:sz w:val="22"/>
          <w:szCs w:val="22"/>
          <w:lang w:val="en-CA"/>
        </w:rPr>
        <w:t xml:space="preserve"> W.</w:t>
      </w:r>
      <w:r w:rsidR="00F07E0E" w:rsidRPr="00B71169">
        <w:rPr>
          <w:rFonts w:ascii="Times New Roman" w:hAnsi="Times New Roman" w:cs="Times New Roman"/>
          <w:bCs/>
          <w:sz w:val="22"/>
          <w:szCs w:val="22"/>
          <w:lang w:val="en-CA"/>
        </w:rPr>
        <w:t xml:space="preserve"> Phua</w:t>
      </w:r>
    </w:p>
    <w:p w14:paraId="3CA3ED48" w14:textId="2FBB520B" w:rsidR="00106B04" w:rsidRPr="00B71169" w:rsidRDefault="00106B04" w:rsidP="00106B04">
      <w:pPr>
        <w:rPr>
          <w:rFonts w:ascii="Times New Roman" w:hAnsi="Times New Roman" w:cs="Times New Roman"/>
          <w:bCs/>
          <w:sz w:val="22"/>
          <w:szCs w:val="22"/>
          <w:lang w:val="en-CA"/>
        </w:rPr>
      </w:pPr>
      <w:r w:rsidRPr="00B71169">
        <w:rPr>
          <w:rFonts w:ascii="Times New Roman" w:hAnsi="Times New Roman" w:cs="Times New Roman"/>
          <w:b/>
          <w:bCs/>
          <w:sz w:val="22"/>
          <w:szCs w:val="22"/>
          <w:lang w:val="en-CA"/>
        </w:rPr>
        <w:t>Co</w:t>
      </w:r>
      <w:r w:rsidR="00B33A49" w:rsidRPr="00B71169">
        <w:rPr>
          <w:rFonts w:ascii="Times New Roman" w:hAnsi="Times New Roman" w:cs="Times New Roman"/>
          <w:b/>
          <w:bCs/>
          <w:sz w:val="22"/>
          <w:szCs w:val="22"/>
          <w:lang w:val="en-CA"/>
        </w:rPr>
        <w:t>-</w:t>
      </w:r>
      <w:r w:rsidRPr="00B71169">
        <w:rPr>
          <w:rFonts w:ascii="Times New Roman" w:hAnsi="Times New Roman" w:cs="Times New Roman"/>
          <w:b/>
          <w:bCs/>
          <w:sz w:val="22"/>
          <w:szCs w:val="22"/>
          <w:lang w:val="en-CA"/>
        </w:rPr>
        <w:t>investigators</w:t>
      </w:r>
      <w:r w:rsidRPr="00B71169">
        <w:rPr>
          <w:rFonts w:ascii="Times New Roman" w:hAnsi="Times New Roman" w:cs="Times New Roman"/>
          <w:bCs/>
          <w:sz w:val="22"/>
          <w:szCs w:val="22"/>
          <w:lang w:val="en-CA"/>
        </w:rPr>
        <w:t xml:space="preserve">: </w:t>
      </w:r>
      <w:r w:rsidR="00FE0B2C" w:rsidRPr="00B71169">
        <w:rPr>
          <w:rFonts w:ascii="Times New Roman" w:hAnsi="Times New Roman" w:cs="Times New Roman"/>
          <w:bCs/>
          <w:sz w:val="22"/>
          <w:szCs w:val="22"/>
          <w:lang w:val="en-CA"/>
        </w:rPr>
        <w:t>I</w:t>
      </w:r>
      <w:r w:rsidR="00136067">
        <w:rPr>
          <w:rFonts w:ascii="Times New Roman" w:hAnsi="Times New Roman" w:cs="Times New Roman"/>
          <w:bCs/>
          <w:sz w:val="22"/>
          <w:szCs w:val="22"/>
          <w:lang w:val="en-CA"/>
        </w:rPr>
        <w:t>.</w:t>
      </w:r>
      <w:r w:rsidR="00FE0B2C" w:rsidRPr="00B71169">
        <w:rPr>
          <w:rFonts w:ascii="Times New Roman" w:hAnsi="Times New Roman" w:cs="Times New Roman"/>
          <w:bCs/>
          <w:sz w:val="22"/>
          <w:szCs w:val="22"/>
          <w:lang w:val="en-CA"/>
        </w:rPr>
        <w:t xml:space="preserve"> Chin-Yee, </w:t>
      </w:r>
      <w:r w:rsidR="00F07E0E" w:rsidRPr="00B71169">
        <w:rPr>
          <w:rFonts w:ascii="Times New Roman" w:hAnsi="Times New Roman" w:cs="Times New Roman"/>
          <w:bCs/>
          <w:sz w:val="22"/>
          <w:szCs w:val="22"/>
          <w:lang w:val="en-CA"/>
        </w:rPr>
        <w:t>B</w:t>
      </w:r>
      <w:r w:rsidR="00136067">
        <w:rPr>
          <w:rFonts w:ascii="Times New Roman" w:hAnsi="Times New Roman" w:cs="Times New Roman"/>
          <w:bCs/>
          <w:sz w:val="22"/>
          <w:szCs w:val="22"/>
          <w:lang w:val="en-CA"/>
        </w:rPr>
        <w:t>.</w:t>
      </w:r>
      <w:r w:rsidR="00F07E0E" w:rsidRPr="00B71169">
        <w:rPr>
          <w:rFonts w:ascii="Times New Roman" w:hAnsi="Times New Roman" w:cs="Times New Roman"/>
          <w:bCs/>
          <w:sz w:val="22"/>
          <w:szCs w:val="22"/>
          <w:lang w:val="en-CA"/>
        </w:rPr>
        <w:t xml:space="preserve"> Hedley, </w:t>
      </w:r>
      <w:r w:rsidR="00EE188C" w:rsidRPr="00B71169">
        <w:rPr>
          <w:rFonts w:ascii="Times New Roman" w:hAnsi="Times New Roman" w:cs="Times New Roman"/>
          <w:bCs/>
          <w:sz w:val="22"/>
          <w:szCs w:val="22"/>
          <w:lang w:val="en-CA"/>
        </w:rPr>
        <w:t>V</w:t>
      </w:r>
      <w:r w:rsidR="00136067">
        <w:rPr>
          <w:rFonts w:ascii="Times New Roman" w:hAnsi="Times New Roman" w:cs="Times New Roman"/>
          <w:bCs/>
          <w:sz w:val="22"/>
          <w:szCs w:val="22"/>
          <w:lang w:val="en-CA"/>
        </w:rPr>
        <w:t>.</w:t>
      </w:r>
      <w:r w:rsidR="00EE188C" w:rsidRPr="00B71169">
        <w:rPr>
          <w:rFonts w:ascii="Times New Roman" w:hAnsi="Times New Roman" w:cs="Times New Roman"/>
          <w:bCs/>
          <w:sz w:val="22"/>
          <w:szCs w:val="22"/>
          <w:lang w:val="en-CA"/>
        </w:rPr>
        <w:t xml:space="preserve"> Bhayana</w:t>
      </w:r>
      <w:r w:rsidR="004F21CF">
        <w:rPr>
          <w:rFonts w:ascii="Times New Roman" w:hAnsi="Times New Roman" w:cs="Times New Roman"/>
          <w:bCs/>
          <w:sz w:val="22"/>
          <w:szCs w:val="22"/>
          <w:lang w:val="en-CA"/>
        </w:rPr>
        <w:t xml:space="preserve">, S. Lam, </w:t>
      </w:r>
      <w:r w:rsidR="004F21CF" w:rsidRPr="00B71169">
        <w:rPr>
          <w:rFonts w:ascii="Times New Roman" w:hAnsi="Times New Roman" w:cs="Times New Roman"/>
          <w:bCs/>
          <w:sz w:val="22"/>
          <w:szCs w:val="22"/>
          <w:lang w:val="en-CA"/>
        </w:rPr>
        <w:t>S</w:t>
      </w:r>
      <w:r w:rsidR="004F21CF">
        <w:rPr>
          <w:rFonts w:ascii="Times New Roman" w:hAnsi="Times New Roman" w:cs="Times New Roman"/>
          <w:bCs/>
          <w:sz w:val="22"/>
          <w:szCs w:val="22"/>
          <w:lang w:val="en-CA"/>
        </w:rPr>
        <w:t xml:space="preserve">. </w:t>
      </w:r>
      <w:r w:rsidR="004F21CF" w:rsidRPr="00B71169">
        <w:rPr>
          <w:rFonts w:ascii="Times New Roman" w:hAnsi="Times New Roman" w:cs="Times New Roman"/>
          <w:bCs/>
          <w:sz w:val="22"/>
          <w:szCs w:val="22"/>
          <w:lang w:val="en-CA"/>
        </w:rPr>
        <w:t>Li</w:t>
      </w:r>
      <w:r w:rsidR="004F21CF">
        <w:rPr>
          <w:rFonts w:ascii="Times New Roman" w:hAnsi="Times New Roman" w:cs="Times New Roman"/>
          <w:bCs/>
          <w:sz w:val="22"/>
          <w:szCs w:val="22"/>
          <w:lang w:val="en-CA"/>
        </w:rPr>
        <w:t>,</w:t>
      </w:r>
      <w:r w:rsidR="004F21CF" w:rsidRPr="00B71169">
        <w:rPr>
          <w:rFonts w:ascii="Times New Roman" w:hAnsi="Times New Roman" w:cs="Times New Roman"/>
          <w:bCs/>
          <w:sz w:val="22"/>
          <w:szCs w:val="22"/>
          <w:lang w:val="en-CA"/>
        </w:rPr>
        <w:t xml:space="preserve"> J</w:t>
      </w:r>
      <w:r w:rsidR="004F21CF">
        <w:rPr>
          <w:rFonts w:ascii="Times New Roman" w:hAnsi="Times New Roman" w:cs="Times New Roman"/>
          <w:bCs/>
          <w:sz w:val="22"/>
          <w:szCs w:val="22"/>
          <w:lang w:val="en-CA"/>
        </w:rPr>
        <w:t>.</w:t>
      </w:r>
      <w:r w:rsidR="004F21CF" w:rsidRPr="00B71169">
        <w:rPr>
          <w:rFonts w:ascii="Times New Roman" w:hAnsi="Times New Roman" w:cs="Times New Roman"/>
          <w:bCs/>
          <w:sz w:val="22"/>
          <w:szCs w:val="22"/>
          <w:lang w:val="en-CA"/>
        </w:rPr>
        <w:t xml:space="preserve"> Delport</w:t>
      </w:r>
      <w:r w:rsidR="004F21CF">
        <w:rPr>
          <w:rFonts w:ascii="Times New Roman" w:hAnsi="Times New Roman" w:cs="Times New Roman"/>
          <w:bCs/>
          <w:sz w:val="22"/>
          <w:szCs w:val="22"/>
          <w:lang w:val="en-CA"/>
        </w:rPr>
        <w:t>,</w:t>
      </w:r>
      <w:r w:rsidR="004F21CF" w:rsidRPr="00B71169">
        <w:rPr>
          <w:rFonts w:ascii="Times New Roman" w:hAnsi="Times New Roman" w:cs="Times New Roman"/>
          <w:bCs/>
          <w:sz w:val="22"/>
          <w:szCs w:val="22"/>
          <w:lang w:val="en-CA"/>
        </w:rPr>
        <w:t xml:space="preserve"> M</w:t>
      </w:r>
      <w:r w:rsidR="004F21CF">
        <w:rPr>
          <w:rFonts w:ascii="Times New Roman" w:hAnsi="Times New Roman" w:cs="Times New Roman"/>
          <w:bCs/>
          <w:sz w:val="22"/>
          <w:szCs w:val="22"/>
          <w:lang w:val="en-CA"/>
        </w:rPr>
        <w:t>.</w:t>
      </w:r>
      <w:r w:rsidR="004F21CF" w:rsidRPr="00B71169">
        <w:rPr>
          <w:rFonts w:ascii="Times New Roman" w:hAnsi="Times New Roman" w:cs="Times New Roman"/>
          <w:bCs/>
          <w:sz w:val="22"/>
          <w:szCs w:val="22"/>
          <w:lang w:val="en-CA"/>
        </w:rPr>
        <w:t xml:space="preserve"> Knauer</w:t>
      </w:r>
      <w:r w:rsidR="00D406CA">
        <w:rPr>
          <w:rFonts w:ascii="Times New Roman" w:hAnsi="Times New Roman" w:cs="Times New Roman"/>
          <w:bCs/>
          <w:sz w:val="22"/>
          <w:szCs w:val="22"/>
          <w:lang w:val="en-CA"/>
        </w:rPr>
        <w:t xml:space="preserve">, </w:t>
      </w:r>
      <w:bookmarkStart w:id="0" w:name="_Hlk69290059"/>
      <w:r w:rsidR="009C111D">
        <w:rPr>
          <w:rFonts w:ascii="Times New Roman" w:hAnsi="Times New Roman" w:cs="Times New Roman"/>
          <w:bCs/>
          <w:sz w:val="22"/>
          <w:szCs w:val="22"/>
          <w:lang w:val="en-CA"/>
        </w:rPr>
        <w:t>M. Haeryfar, S. Shalhoub</w:t>
      </w:r>
      <w:bookmarkEnd w:id="0"/>
    </w:p>
    <w:p w14:paraId="77D2A7B6" w14:textId="77777777" w:rsidR="00106B04" w:rsidRPr="00CD384F" w:rsidRDefault="00106B04" w:rsidP="00106B04">
      <w:pPr>
        <w:rPr>
          <w:rFonts w:ascii="Times New Roman" w:hAnsi="Times New Roman" w:cs="Times New Roman"/>
          <w:b/>
          <w:sz w:val="22"/>
          <w:szCs w:val="22"/>
          <w:lang w:val="en-CA"/>
        </w:rPr>
      </w:pPr>
    </w:p>
    <w:p w14:paraId="7E027A1F" w14:textId="77777777" w:rsidR="00FA6CFE" w:rsidRDefault="00FA6CFE" w:rsidP="009967C7">
      <w:pPr>
        <w:jc w:val="both"/>
        <w:rPr>
          <w:rFonts w:ascii="Times New Roman" w:hAnsi="Times New Roman" w:cs="Times New Roman"/>
          <w:b/>
          <w:sz w:val="22"/>
          <w:szCs w:val="22"/>
          <w:lang w:val="en-CA"/>
        </w:rPr>
      </w:pPr>
    </w:p>
    <w:p w14:paraId="534F948F" w14:textId="6AB1CEBA" w:rsidR="00F80CF8" w:rsidRDefault="00106B04" w:rsidP="00F86B88">
      <w:pPr>
        <w:pStyle w:val="Heading2"/>
        <w:rPr>
          <w:lang w:val="en-CA"/>
        </w:rPr>
      </w:pPr>
      <w:r w:rsidRPr="00CD384F">
        <w:rPr>
          <w:lang w:val="en-CA"/>
        </w:rPr>
        <w:t>Background</w:t>
      </w:r>
    </w:p>
    <w:p w14:paraId="7341D5B2" w14:textId="68745688" w:rsidR="008C032B" w:rsidRDefault="002834E9" w:rsidP="00F65FBB">
      <w:pPr>
        <w:jc w:val="both"/>
        <w:rPr>
          <w:rFonts w:ascii="Times New Roman" w:hAnsi="Times New Roman" w:cs="Times New Roman"/>
          <w:sz w:val="22"/>
          <w:szCs w:val="22"/>
          <w:lang w:val="en-CA"/>
        </w:rPr>
      </w:pPr>
      <w:r w:rsidRPr="002834E9">
        <w:rPr>
          <w:rFonts w:ascii="Times New Roman" w:hAnsi="Times New Roman" w:cs="Times New Roman"/>
          <w:sz w:val="22"/>
          <w:szCs w:val="22"/>
          <w:lang w:val="en-CA"/>
        </w:rPr>
        <w:t>Several vaccines for COVID-19</w:t>
      </w:r>
      <w:r w:rsidR="00BF1A4A">
        <w:rPr>
          <w:rFonts w:ascii="Times New Roman" w:hAnsi="Times New Roman" w:cs="Times New Roman"/>
          <w:sz w:val="22"/>
          <w:szCs w:val="22"/>
          <w:lang w:val="en-CA"/>
        </w:rPr>
        <w:t xml:space="preserve"> disease</w:t>
      </w:r>
      <w:r w:rsidRPr="002834E9">
        <w:rPr>
          <w:rFonts w:ascii="Times New Roman" w:hAnsi="Times New Roman" w:cs="Times New Roman"/>
          <w:sz w:val="22"/>
          <w:szCs w:val="22"/>
          <w:lang w:val="en-CA"/>
        </w:rPr>
        <w:t xml:space="preserve"> caused by the severe acute respiratory syndrome coronavirus 2 (SARS-CoV-2) are currently approved, and widespread vaccination of the Canadian population is anticipated over the ensuing year. The record time for vaccine development and urgency which these were brought to market, some which use novel mRNA technology to produce these vaccines requires ongoing vigilance and monitoring. While studies are emerging that involve immunity in the healthy population,</w:t>
      </w:r>
      <w:r w:rsidR="00ED6593">
        <w:rPr>
          <w:rFonts w:ascii="Times New Roman" w:hAnsi="Times New Roman" w:cs="Times New Roman"/>
          <w:sz w:val="22"/>
          <w:szCs w:val="22"/>
          <w:lang w:val="en-CA"/>
        </w:rPr>
        <w:t xml:space="preserve"> the clinical efficacy and response to these vaccines in p</w:t>
      </w:r>
      <w:r w:rsidR="00F07E0E" w:rsidRPr="00F07E0E">
        <w:rPr>
          <w:rFonts w:ascii="Times New Roman" w:hAnsi="Times New Roman" w:cs="Times New Roman"/>
          <w:sz w:val="22"/>
          <w:szCs w:val="22"/>
          <w:lang w:val="en-CA"/>
        </w:rPr>
        <w:t>atient</w:t>
      </w:r>
      <w:r w:rsidR="009967C7">
        <w:rPr>
          <w:rFonts w:ascii="Times New Roman" w:hAnsi="Times New Roman" w:cs="Times New Roman"/>
          <w:sz w:val="22"/>
          <w:szCs w:val="22"/>
          <w:lang w:val="en-CA"/>
        </w:rPr>
        <w:t>s</w:t>
      </w:r>
      <w:r w:rsidR="00F07E0E" w:rsidRPr="00F07E0E">
        <w:rPr>
          <w:rFonts w:ascii="Times New Roman" w:hAnsi="Times New Roman" w:cs="Times New Roman"/>
          <w:sz w:val="22"/>
          <w:szCs w:val="22"/>
          <w:lang w:val="en-CA"/>
        </w:rPr>
        <w:t xml:space="preserve"> with underlying hematologic malignancies</w:t>
      </w:r>
      <w:r w:rsidR="00ED6593">
        <w:rPr>
          <w:rFonts w:ascii="Times New Roman" w:hAnsi="Times New Roman" w:cs="Times New Roman"/>
          <w:sz w:val="22"/>
          <w:szCs w:val="22"/>
          <w:lang w:val="en-CA"/>
        </w:rPr>
        <w:t>,</w:t>
      </w:r>
      <w:r w:rsidR="00F07E0E" w:rsidRPr="00F07E0E">
        <w:rPr>
          <w:rFonts w:ascii="Times New Roman" w:hAnsi="Times New Roman" w:cs="Times New Roman"/>
          <w:sz w:val="22"/>
          <w:szCs w:val="22"/>
          <w:lang w:val="en-CA"/>
        </w:rPr>
        <w:t xml:space="preserve"> </w:t>
      </w:r>
      <w:r w:rsidR="00ED6593">
        <w:rPr>
          <w:rFonts w:ascii="Times New Roman" w:hAnsi="Times New Roman" w:cs="Times New Roman"/>
          <w:sz w:val="22"/>
          <w:szCs w:val="22"/>
          <w:lang w:val="en-CA"/>
        </w:rPr>
        <w:t xml:space="preserve">who </w:t>
      </w:r>
      <w:r w:rsidR="009967C7">
        <w:rPr>
          <w:rFonts w:ascii="Times New Roman" w:hAnsi="Times New Roman" w:cs="Times New Roman"/>
          <w:sz w:val="22"/>
          <w:szCs w:val="22"/>
          <w:lang w:val="en-CA"/>
        </w:rPr>
        <w:t>are</w:t>
      </w:r>
      <w:r w:rsidR="00F07E0E" w:rsidRPr="00F07E0E">
        <w:rPr>
          <w:rFonts w:ascii="Times New Roman" w:hAnsi="Times New Roman" w:cs="Times New Roman"/>
          <w:sz w:val="22"/>
          <w:szCs w:val="22"/>
          <w:lang w:val="en-CA"/>
        </w:rPr>
        <w:t xml:space="preserve"> at high risk of </w:t>
      </w:r>
      <w:r w:rsidR="00537F73">
        <w:rPr>
          <w:rFonts w:ascii="Times New Roman" w:hAnsi="Times New Roman" w:cs="Times New Roman"/>
          <w:sz w:val="22"/>
          <w:szCs w:val="22"/>
          <w:lang w:val="en-CA"/>
        </w:rPr>
        <w:t>COVID-19</w:t>
      </w:r>
      <w:r w:rsidR="00ED6593">
        <w:rPr>
          <w:rFonts w:ascii="Times New Roman" w:hAnsi="Times New Roman" w:cs="Times New Roman"/>
          <w:sz w:val="22"/>
          <w:szCs w:val="22"/>
          <w:lang w:val="en-CA"/>
        </w:rPr>
        <w:t xml:space="preserve"> due to their</w:t>
      </w:r>
      <w:r w:rsidR="00F07E0E">
        <w:rPr>
          <w:rFonts w:ascii="Times New Roman" w:hAnsi="Times New Roman" w:cs="Times New Roman"/>
          <w:sz w:val="22"/>
          <w:szCs w:val="22"/>
          <w:lang w:val="en-CA"/>
        </w:rPr>
        <w:t xml:space="preserve"> immunocompromised state and treatment</w:t>
      </w:r>
      <w:r w:rsidR="00ED6593">
        <w:rPr>
          <w:rFonts w:ascii="Times New Roman" w:hAnsi="Times New Roman" w:cs="Times New Roman"/>
          <w:sz w:val="22"/>
          <w:szCs w:val="22"/>
          <w:lang w:val="en-CA"/>
        </w:rPr>
        <w:t xml:space="preserve">s, are uncertain. </w:t>
      </w:r>
      <w:r w:rsidR="008C032B">
        <w:rPr>
          <w:rFonts w:ascii="Times New Roman" w:hAnsi="Times New Roman" w:cs="Times New Roman"/>
          <w:sz w:val="22"/>
          <w:szCs w:val="22"/>
          <w:lang w:val="en-CA"/>
        </w:rPr>
        <w:t xml:space="preserve">Patients who are treated with Rituximab, an anti-CD20 monoclonal antibody that causes rapid and prolonged B-cell depletion, are of </w:t>
      </w:r>
      <w:r w:rsidR="00FA6CFE">
        <w:rPr>
          <w:rFonts w:ascii="Times New Roman" w:hAnsi="Times New Roman" w:cs="Times New Roman"/>
          <w:sz w:val="22"/>
          <w:szCs w:val="22"/>
          <w:lang w:val="en-CA"/>
        </w:rPr>
        <w:t>a particular</w:t>
      </w:r>
      <w:r w:rsidR="008C032B">
        <w:rPr>
          <w:rFonts w:ascii="Times New Roman" w:hAnsi="Times New Roman" w:cs="Times New Roman"/>
          <w:sz w:val="22"/>
          <w:szCs w:val="22"/>
          <w:lang w:val="en-CA"/>
        </w:rPr>
        <w:t xml:space="preserve"> concern. In previous studies, rituximab has shown to impair vaccine specific immune responses mostly through blunting antibody production against influenza and pneumovax vaccines.</w:t>
      </w:r>
      <w:r w:rsidR="00FA6CFE">
        <w:rPr>
          <w:rFonts w:ascii="Times New Roman" w:hAnsi="Times New Roman" w:cs="Times New Roman"/>
          <w:sz w:val="22"/>
          <w:szCs w:val="22"/>
          <w:lang w:val="en-CA"/>
        </w:rPr>
        <w:t xml:space="preserve"> </w:t>
      </w:r>
      <w:r w:rsidR="00F65FBB">
        <w:rPr>
          <w:rFonts w:ascii="Times New Roman" w:hAnsi="Times New Roman" w:cs="Times New Roman"/>
          <w:sz w:val="22"/>
          <w:szCs w:val="22"/>
          <w:lang w:val="en-CA"/>
        </w:rPr>
        <w:t>Some reports have highlighted a variable cellular response as well in rituximab treated patients</w:t>
      </w:r>
      <w:r w:rsidR="00FA6CFE">
        <w:rPr>
          <w:rFonts w:ascii="Times New Roman" w:hAnsi="Times New Roman" w:cs="Times New Roman"/>
          <w:sz w:val="22"/>
          <w:szCs w:val="22"/>
          <w:lang w:val="en-CA"/>
        </w:rPr>
        <w:t xml:space="preserve">. </w:t>
      </w:r>
    </w:p>
    <w:p w14:paraId="5FE2D176" w14:textId="77777777" w:rsidR="008C032B" w:rsidRDefault="008C032B" w:rsidP="002834E9">
      <w:pPr>
        <w:jc w:val="both"/>
        <w:rPr>
          <w:rFonts w:ascii="Times New Roman" w:hAnsi="Times New Roman" w:cs="Times New Roman"/>
          <w:sz w:val="22"/>
          <w:szCs w:val="22"/>
          <w:lang w:val="en-CA"/>
        </w:rPr>
      </w:pPr>
    </w:p>
    <w:p w14:paraId="53D71897" w14:textId="22C93F0F" w:rsidR="00F65FBB" w:rsidRDefault="008F7960" w:rsidP="00BF29A7">
      <w:pPr>
        <w:jc w:val="both"/>
        <w:rPr>
          <w:rFonts w:ascii="Times New Roman" w:hAnsi="Times New Roman" w:cs="Times New Roman"/>
          <w:sz w:val="22"/>
          <w:szCs w:val="22"/>
          <w:lang w:val="en-CA"/>
        </w:rPr>
      </w:pPr>
      <w:r>
        <w:rPr>
          <w:rFonts w:ascii="Times New Roman" w:hAnsi="Times New Roman" w:cs="Times New Roman"/>
          <w:sz w:val="22"/>
          <w:szCs w:val="22"/>
          <w:lang w:val="en-CA"/>
        </w:rPr>
        <w:t>Based on previous studies demonstrating lower efficacy of some vaccines in immunocompromised patients, mostly derived by a lower immunogenic response to the vaccine compared to the general population, it is anticipated that COVID-19 vaccines may not bear the same efficacy</w:t>
      </w:r>
      <w:r w:rsidR="00F65FBB">
        <w:rPr>
          <w:rFonts w:ascii="Times New Roman" w:hAnsi="Times New Roman" w:cs="Times New Roman"/>
          <w:sz w:val="22"/>
          <w:szCs w:val="22"/>
          <w:lang w:val="en-CA"/>
        </w:rPr>
        <w:t xml:space="preserve"> in patients with hematologic malignancies</w:t>
      </w:r>
      <w:r>
        <w:rPr>
          <w:rFonts w:ascii="Times New Roman" w:hAnsi="Times New Roman" w:cs="Times New Roman"/>
          <w:sz w:val="22"/>
          <w:szCs w:val="22"/>
          <w:lang w:val="en-CA"/>
        </w:rPr>
        <w:t xml:space="preserve">. </w:t>
      </w:r>
      <w:r w:rsidR="00DB262F" w:rsidRPr="00CD384F">
        <w:rPr>
          <w:rFonts w:ascii="Times New Roman" w:hAnsi="Times New Roman" w:cs="Times New Roman"/>
          <w:sz w:val="22"/>
          <w:szCs w:val="22"/>
          <w:lang w:val="en-CA"/>
        </w:rPr>
        <w:t xml:space="preserve">We propose a </w:t>
      </w:r>
      <w:r w:rsidR="00FA3AF8" w:rsidRPr="00FA3AF8">
        <w:rPr>
          <w:rFonts w:ascii="Times New Roman" w:hAnsi="Times New Roman" w:cs="Times New Roman"/>
          <w:sz w:val="22"/>
          <w:szCs w:val="22"/>
          <w:lang w:val="en-CA"/>
        </w:rPr>
        <w:t xml:space="preserve">comprehensive serologic study to characterize the humoral (antibody) and cellular immune responses in haematology cancer patients who are immunized </w:t>
      </w:r>
      <w:r w:rsidR="00FA3AF8">
        <w:rPr>
          <w:rFonts w:ascii="Times New Roman" w:hAnsi="Times New Roman" w:cs="Times New Roman"/>
          <w:sz w:val="22"/>
          <w:szCs w:val="22"/>
          <w:lang w:val="en-CA"/>
        </w:rPr>
        <w:t xml:space="preserve">with the </w:t>
      </w:r>
      <w:r w:rsidR="00537F73">
        <w:rPr>
          <w:rFonts w:ascii="Times New Roman" w:hAnsi="Times New Roman" w:cs="Times New Roman"/>
          <w:sz w:val="22"/>
          <w:szCs w:val="22"/>
          <w:lang w:val="en-CA"/>
        </w:rPr>
        <w:t>COVID-19</w:t>
      </w:r>
      <w:r w:rsidR="00F80CF8">
        <w:rPr>
          <w:rFonts w:ascii="Times New Roman" w:hAnsi="Times New Roman" w:cs="Times New Roman"/>
          <w:sz w:val="22"/>
          <w:szCs w:val="22"/>
          <w:lang w:val="en-CA"/>
        </w:rPr>
        <w:t xml:space="preserve"> vaccination in the next </w:t>
      </w:r>
      <w:r w:rsidR="00ED6593">
        <w:rPr>
          <w:rFonts w:ascii="Times New Roman" w:hAnsi="Times New Roman" w:cs="Times New Roman"/>
          <w:sz w:val="22"/>
          <w:szCs w:val="22"/>
          <w:lang w:val="en-CA"/>
        </w:rPr>
        <w:t>12</w:t>
      </w:r>
      <w:r w:rsidR="00F80CF8">
        <w:rPr>
          <w:rFonts w:ascii="Times New Roman" w:hAnsi="Times New Roman" w:cs="Times New Roman"/>
          <w:sz w:val="22"/>
          <w:szCs w:val="22"/>
          <w:lang w:val="en-CA"/>
        </w:rPr>
        <w:t xml:space="preserve"> months </w:t>
      </w:r>
      <w:r w:rsidR="00DB262F" w:rsidRPr="00CD384F">
        <w:rPr>
          <w:rFonts w:ascii="Times New Roman" w:hAnsi="Times New Roman" w:cs="Times New Roman"/>
          <w:sz w:val="22"/>
          <w:szCs w:val="22"/>
          <w:lang w:val="en-CA"/>
        </w:rPr>
        <w:t xml:space="preserve">to </w:t>
      </w:r>
      <w:r w:rsidR="00ED6593">
        <w:rPr>
          <w:rFonts w:ascii="Times New Roman" w:hAnsi="Times New Roman" w:cs="Times New Roman"/>
          <w:sz w:val="22"/>
          <w:szCs w:val="22"/>
          <w:lang w:val="en-CA"/>
        </w:rPr>
        <w:t>explore unanswered questions regarding vaccination</w:t>
      </w:r>
      <w:r w:rsidR="00F65FBB">
        <w:rPr>
          <w:rFonts w:ascii="Times New Roman" w:hAnsi="Times New Roman" w:cs="Times New Roman"/>
          <w:sz w:val="22"/>
          <w:szCs w:val="22"/>
          <w:lang w:val="en-CA"/>
        </w:rPr>
        <w:t xml:space="preserve"> of immunocompromised population</w:t>
      </w:r>
      <w:r w:rsidR="00D64112">
        <w:rPr>
          <w:rFonts w:ascii="Times New Roman" w:hAnsi="Times New Roman" w:cs="Times New Roman"/>
          <w:sz w:val="22"/>
          <w:szCs w:val="22"/>
          <w:lang w:val="en-CA"/>
        </w:rPr>
        <w:t>.</w:t>
      </w:r>
      <w:r w:rsidR="00ED6593">
        <w:rPr>
          <w:rFonts w:ascii="Times New Roman" w:hAnsi="Times New Roman" w:cs="Times New Roman"/>
          <w:sz w:val="22"/>
          <w:szCs w:val="22"/>
          <w:lang w:val="en-CA"/>
        </w:rPr>
        <w:t xml:space="preserve"> This study will also support validation of previous study that developed a serologic assay for </w:t>
      </w:r>
      <w:r w:rsidR="004F21CF">
        <w:rPr>
          <w:rFonts w:ascii="Times New Roman" w:hAnsi="Times New Roman" w:cs="Times New Roman"/>
          <w:sz w:val="22"/>
          <w:szCs w:val="22"/>
          <w:lang w:val="en-CA"/>
        </w:rPr>
        <w:t>COVID-19</w:t>
      </w:r>
      <w:r w:rsidR="00ED6593">
        <w:rPr>
          <w:rFonts w:ascii="Times New Roman" w:hAnsi="Times New Roman" w:cs="Times New Roman"/>
          <w:sz w:val="22"/>
          <w:szCs w:val="22"/>
          <w:lang w:val="en-CA"/>
        </w:rPr>
        <w:t xml:space="preserve"> antibodies, termed the agglutination assay on a larger population. </w:t>
      </w:r>
      <w:r w:rsidR="00FE5CFB">
        <w:rPr>
          <w:rFonts w:ascii="Times New Roman" w:hAnsi="Times New Roman" w:cs="Times New Roman"/>
          <w:sz w:val="22"/>
          <w:szCs w:val="22"/>
          <w:lang w:val="en-CA"/>
        </w:rPr>
        <w:t>As a sub study, w</w:t>
      </w:r>
      <w:r w:rsidR="00F65FBB">
        <w:rPr>
          <w:rFonts w:ascii="Times New Roman" w:hAnsi="Times New Roman" w:cs="Times New Roman"/>
          <w:sz w:val="22"/>
          <w:szCs w:val="22"/>
          <w:lang w:val="en-CA"/>
        </w:rPr>
        <w:t xml:space="preserve">e </w:t>
      </w:r>
      <w:r w:rsidR="00F65FBB" w:rsidRPr="00F65FBB">
        <w:rPr>
          <w:rFonts w:ascii="Times New Roman" w:hAnsi="Times New Roman" w:cs="Times New Roman"/>
          <w:sz w:val="22"/>
          <w:szCs w:val="22"/>
          <w:lang w:val="en-CA"/>
        </w:rPr>
        <w:t xml:space="preserve">will also examine immune responses </w:t>
      </w:r>
      <w:r w:rsidR="00F65FBB">
        <w:rPr>
          <w:rFonts w:ascii="Times New Roman" w:hAnsi="Times New Roman" w:cs="Times New Roman"/>
          <w:sz w:val="22"/>
          <w:szCs w:val="22"/>
          <w:lang w:val="en-CA"/>
        </w:rPr>
        <w:t xml:space="preserve">of </w:t>
      </w:r>
      <w:r w:rsidR="00F65FBB" w:rsidRPr="00F65FBB">
        <w:rPr>
          <w:rFonts w:ascii="Times New Roman" w:hAnsi="Times New Roman" w:cs="Times New Roman"/>
          <w:sz w:val="22"/>
          <w:szCs w:val="22"/>
          <w:lang w:val="en-CA"/>
        </w:rPr>
        <w:t>vaccine in patients with hematologic malignancy diagnosis treated with rituximab compared to those with similar diagnoses without rituximab.</w:t>
      </w:r>
    </w:p>
    <w:p w14:paraId="7DD739E3" w14:textId="77777777" w:rsidR="00F65FBB" w:rsidRDefault="00F65FBB" w:rsidP="00F65FBB">
      <w:pPr>
        <w:jc w:val="both"/>
        <w:rPr>
          <w:rFonts w:ascii="Times New Roman" w:hAnsi="Times New Roman" w:cs="Times New Roman"/>
          <w:sz w:val="22"/>
          <w:szCs w:val="22"/>
          <w:lang w:val="en-CA"/>
        </w:rPr>
      </w:pPr>
    </w:p>
    <w:p w14:paraId="4DB26330" w14:textId="77777777" w:rsidR="00FA6CFE" w:rsidRDefault="00FA6CFE" w:rsidP="00DB262F">
      <w:pPr>
        <w:jc w:val="both"/>
        <w:rPr>
          <w:rFonts w:ascii="Times New Roman" w:hAnsi="Times New Roman" w:cs="Times New Roman"/>
          <w:sz w:val="22"/>
          <w:szCs w:val="22"/>
          <w:lang w:val="en-CA"/>
        </w:rPr>
      </w:pPr>
    </w:p>
    <w:p w14:paraId="1BBF5DC6" w14:textId="2DB05227" w:rsidR="00405AEC" w:rsidRDefault="00DB262F" w:rsidP="00F86B88">
      <w:pPr>
        <w:pStyle w:val="Heading2"/>
        <w:rPr>
          <w:rFonts w:ascii="Times New Roman" w:hAnsi="Times New Roman" w:cs="Times New Roman"/>
          <w:b/>
          <w:sz w:val="22"/>
          <w:szCs w:val="22"/>
          <w:lang w:val="en-CA"/>
        </w:rPr>
      </w:pPr>
      <w:r w:rsidRPr="00CD384F">
        <w:rPr>
          <w:lang w:val="en-CA"/>
        </w:rPr>
        <w:t>Study Objectives</w:t>
      </w:r>
    </w:p>
    <w:p w14:paraId="5DEC4ED3" w14:textId="4260E34D" w:rsidR="00A72F73" w:rsidRPr="00A1063A" w:rsidRDefault="00A72F73" w:rsidP="00DB262F">
      <w:pPr>
        <w:jc w:val="both"/>
        <w:rPr>
          <w:rFonts w:ascii="Times New Roman" w:hAnsi="Times New Roman" w:cs="Times New Roman"/>
          <w:b/>
          <w:sz w:val="22"/>
          <w:szCs w:val="22"/>
          <w:lang w:val="en-CA"/>
        </w:rPr>
      </w:pPr>
      <w:r w:rsidRPr="00A1063A">
        <w:rPr>
          <w:rFonts w:ascii="Times New Roman" w:hAnsi="Times New Roman" w:cs="Times New Roman"/>
          <w:b/>
          <w:sz w:val="22"/>
          <w:szCs w:val="22"/>
          <w:lang w:val="en-CA"/>
        </w:rPr>
        <w:t>Primary</w:t>
      </w:r>
    </w:p>
    <w:p w14:paraId="121DFF9A" w14:textId="28B94292" w:rsidR="00A1063A" w:rsidRPr="00A1063A" w:rsidRDefault="00537F73" w:rsidP="00537F73">
      <w:pPr>
        <w:jc w:val="both"/>
        <w:rPr>
          <w:rFonts w:ascii="Times New Roman" w:hAnsi="Times New Roman" w:cs="Times New Roman"/>
          <w:sz w:val="22"/>
          <w:szCs w:val="22"/>
          <w:lang w:val="en-CA"/>
        </w:rPr>
      </w:pPr>
      <w:r w:rsidRPr="00A1063A">
        <w:rPr>
          <w:rFonts w:ascii="Times New Roman" w:hAnsi="Times New Roman" w:cs="Times New Roman"/>
          <w:sz w:val="22"/>
          <w:szCs w:val="22"/>
          <w:lang w:val="en-CA"/>
        </w:rPr>
        <w:t xml:space="preserve">1. </w:t>
      </w:r>
      <w:r w:rsidR="00A1063A" w:rsidRPr="00A1063A">
        <w:rPr>
          <w:rFonts w:ascii="Times New Roman" w:hAnsi="Times New Roman" w:cs="Times New Roman"/>
          <w:sz w:val="22"/>
          <w:szCs w:val="22"/>
          <w:lang w:val="en-CA"/>
        </w:rPr>
        <w:t>To evaluate the</w:t>
      </w:r>
      <w:r w:rsidR="00FA3AF8">
        <w:rPr>
          <w:rFonts w:ascii="Times New Roman" w:hAnsi="Times New Roman" w:cs="Times New Roman"/>
          <w:sz w:val="22"/>
          <w:szCs w:val="22"/>
          <w:lang w:val="en-CA"/>
        </w:rPr>
        <w:t xml:space="preserve"> overall seroconversion </w:t>
      </w:r>
      <w:r w:rsidR="00A1063A" w:rsidRPr="00A1063A">
        <w:rPr>
          <w:rFonts w:ascii="Times New Roman" w:hAnsi="Times New Roman" w:cs="Times New Roman"/>
          <w:sz w:val="22"/>
          <w:szCs w:val="22"/>
          <w:lang w:val="en-CA"/>
        </w:rPr>
        <w:t>to the COVID-19 vaccination in patients with hematologic malignancies</w:t>
      </w:r>
      <w:r w:rsidR="00FA3AF8">
        <w:rPr>
          <w:rFonts w:ascii="Times New Roman" w:hAnsi="Times New Roman" w:cs="Times New Roman"/>
          <w:sz w:val="22"/>
          <w:szCs w:val="22"/>
          <w:lang w:val="en-CA"/>
        </w:rPr>
        <w:t>. The serologic response after each vaccine dose will also be evaluated using the established Elisa antibody testing.</w:t>
      </w:r>
    </w:p>
    <w:p w14:paraId="458025FA" w14:textId="125ADEB3" w:rsidR="00537F73" w:rsidRPr="00A1063A" w:rsidRDefault="00537F73" w:rsidP="004D69D2">
      <w:pPr>
        <w:jc w:val="both"/>
        <w:rPr>
          <w:rFonts w:ascii="Times New Roman" w:hAnsi="Times New Roman" w:cs="Times New Roman"/>
          <w:sz w:val="22"/>
          <w:szCs w:val="22"/>
          <w:lang w:val="en-CA"/>
        </w:rPr>
      </w:pPr>
    </w:p>
    <w:p w14:paraId="436F0F8A" w14:textId="18EF0852" w:rsidR="00EB63DF" w:rsidRPr="00A1063A" w:rsidRDefault="00405AEC" w:rsidP="00EB63DF">
      <w:pPr>
        <w:jc w:val="both"/>
        <w:rPr>
          <w:rFonts w:ascii="Times New Roman" w:hAnsi="Times New Roman" w:cs="Times New Roman"/>
          <w:b/>
          <w:sz w:val="22"/>
          <w:szCs w:val="22"/>
          <w:lang w:val="en-CA"/>
        </w:rPr>
      </w:pPr>
      <w:r w:rsidRPr="00A1063A">
        <w:rPr>
          <w:rFonts w:ascii="Times New Roman" w:hAnsi="Times New Roman" w:cs="Times New Roman"/>
          <w:b/>
          <w:sz w:val="22"/>
          <w:szCs w:val="22"/>
          <w:lang w:val="en-CA"/>
        </w:rPr>
        <w:t>S</w:t>
      </w:r>
      <w:r w:rsidR="00EB63DF" w:rsidRPr="00A1063A">
        <w:rPr>
          <w:rFonts w:ascii="Times New Roman" w:hAnsi="Times New Roman" w:cs="Times New Roman"/>
          <w:b/>
          <w:sz w:val="22"/>
          <w:szCs w:val="22"/>
          <w:lang w:val="en-CA"/>
        </w:rPr>
        <w:t>econdary</w:t>
      </w:r>
    </w:p>
    <w:p w14:paraId="431E259C" w14:textId="453302ED" w:rsidR="00EB63DF" w:rsidRPr="00A63577" w:rsidRDefault="00A1063A">
      <w:pPr>
        <w:jc w:val="both"/>
        <w:rPr>
          <w:rFonts w:ascii="Times New Roman" w:hAnsi="Times New Roman" w:cs="Times New Roman"/>
          <w:sz w:val="22"/>
          <w:szCs w:val="22"/>
          <w:lang w:val="en-CA"/>
        </w:rPr>
      </w:pPr>
      <w:r w:rsidRPr="00A1063A">
        <w:rPr>
          <w:rFonts w:ascii="Times New Roman" w:hAnsi="Times New Roman" w:cs="Times New Roman"/>
          <w:sz w:val="22"/>
          <w:szCs w:val="22"/>
          <w:lang w:val="en-CA"/>
        </w:rPr>
        <w:t xml:space="preserve">1. </w:t>
      </w:r>
      <w:r w:rsidRPr="00A63577">
        <w:rPr>
          <w:rFonts w:ascii="Times New Roman" w:hAnsi="Times New Roman" w:cs="Times New Roman"/>
          <w:sz w:val="22"/>
          <w:szCs w:val="22"/>
          <w:lang w:val="en-CA"/>
        </w:rPr>
        <w:t>T</w:t>
      </w:r>
      <w:r w:rsidR="00EB63DF" w:rsidRPr="00A63577">
        <w:rPr>
          <w:rFonts w:ascii="Times New Roman" w:hAnsi="Times New Roman" w:cs="Times New Roman"/>
          <w:sz w:val="22"/>
          <w:szCs w:val="22"/>
          <w:lang w:val="en-CA"/>
        </w:rPr>
        <w:t>o explore the variables that may affect antibody response such as type of hematologic malignancy, treatment received in proximity to vaccination, innate level of immunity pre-vaccination, and proximity to other vaccines.</w:t>
      </w:r>
    </w:p>
    <w:p w14:paraId="6688E632" w14:textId="5386F37A" w:rsidR="00A1063A" w:rsidRPr="00A63577" w:rsidRDefault="00A1063A" w:rsidP="00A1063A">
      <w:pPr>
        <w:rPr>
          <w:rFonts w:ascii="Times New Roman" w:hAnsi="Times New Roman" w:cs="Times New Roman"/>
          <w:sz w:val="22"/>
          <w:szCs w:val="22"/>
          <w:lang w:val="en-CA"/>
        </w:rPr>
      </w:pPr>
      <w:r w:rsidRPr="00A63577">
        <w:rPr>
          <w:rFonts w:ascii="Times New Roman" w:hAnsi="Times New Roman" w:cs="Times New Roman"/>
          <w:sz w:val="22"/>
          <w:szCs w:val="22"/>
          <w:lang w:val="en-CA"/>
        </w:rPr>
        <w:t xml:space="preserve">2. To evaluate variables to vaccine response based on </w:t>
      </w:r>
      <w:r w:rsidR="00204C25">
        <w:rPr>
          <w:rFonts w:ascii="Times New Roman" w:hAnsi="Times New Roman" w:cs="Times New Roman"/>
          <w:sz w:val="22"/>
          <w:szCs w:val="22"/>
          <w:lang w:val="en-CA"/>
        </w:rPr>
        <w:t xml:space="preserve">hematologic diagnosis </w:t>
      </w:r>
      <w:r w:rsidRPr="00A63577">
        <w:rPr>
          <w:rFonts w:ascii="Times New Roman" w:hAnsi="Times New Roman" w:cs="Times New Roman"/>
          <w:sz w:val="22"/>
          <w:szCs w:val="22"/>
          <w:lang w:val="en-CA"/>
        </w:rPr>
        <w:t>and treatment exposure</w:t>
      </w:r>
    </w:p>
    <w:p w14:paraId="16C0A20E" w14:textId="78E49ACA" w:rsidR="00A1063A" w:rsidRPr="00A63577" w:rsidRDefault="00A1063A" w:rsidP="00A1063A">
      <w:pPr>
        <w:rPr>
          <w:rFonts w:ascii="Times New Roman" w:hAnsi="Times New Roman" w:cs="Times New Roman"/>
          <w:sz w:val="22"/>
          <w:szCs w:val="22"/>
          <w:lang w:val="en-CA"/>
        </w:rPr>
      </w:pPr>
      <w:r w:rsidRPr="00A63577">
        <w:rPr>
          <w:rFonts w:ascii="Times New Roman" w:hAnsi="Times New Roman" w:cs="Times New Roman"/>
          <w:sz w:val="22"/>
          <w:szCs w:val="22"/>
          <w:lang w:val="en-CA"/>
        </w:rPr>
        <w:t xml:space="preserve">3. To assess the durability of post-vaccination response </w:t>
      </w:r>
    </w:p>
    <w:p w14:paraId="7715BA44" w14:textId="3DA2E54B" w:rsidR="00A1063A" w:rsidRPr="00A63577" w:rsidRDefault="00A1063A" w:rsidP="00A1063A">
      <w:pPr>
        <w:rPr>
          <w:rFonts w:ascii="Times New Roman" w:hAnsi="Times New Roman" w:cs="Times New Roman"/>
          <w:sz w:val="22"/>
          <w:szCs w:val="22"/>
          <w:lang w:val="en-CA"/>
        </w:rPr>
      </w:pPr>
      <w:r w:rsidRPr="00A63577">
        <w:rPr>
          <w:rFonts w:ascii="Times New Roman" w:hAnsi="Times New Roman" w:cs="Times New Roman"/>
          <w:sz w:val="22"/>
          <w:szCs w:val="22"/>
          <w:lang w:val="en-CA"/>
        </w:rPr>
        <w:t>4. To determine the sensitivity and specificity to a recently developed latex agglutination assay</w:t>
      </w:r>
    </w:p>
    <w:p w14:paraId="001BAA15" w14:textId="663BB301" w:rsidR="00A1063A" w:rsidRDefault="00A1063A" w:rsidP="00A1063A">
      <w:pPr>
        <w:rPr>
          <w:rFonts w:ascii="Times New Roman" w:hAnsi="Times New Roman" w:cs="Times New Roman"/>
          <w:sz w:val="22"/>
          <w:szCs w:val="22"/>
          <w:lang w:val="en-CA"/>
        </w:rPr>
      </w:pPr>
      <w:r w:rsidRPr="00A63577">
        <w:rPr>
          <w:rFonts w:ascii="Times New Roman" w:hAnsi="Times New Roman" w:cs="Times New Roman"/>
          <w:sz w:val="22"/>
          <w:szCs w:val="22"/>
          <w:lang w:val="en-CA"/>
        </w:rPr>
        <w:t>5. To determine the cellular immune responses to COVID 19 vaccine in patients treated/recently exposed to Rituximab</w:t>
      </w:r>
    </w:p>
    <w:p w14:paraId="1B4F10A5" w14:textId="77777777" w:rsidR="00FA3AF8" w:rsidRPr="00A63577" w:rsidRDefault="00FA3AF8" w:rsidP="00A63577">
      <w:pPr>
        <w:rPr>
          <w:rFonts w:ascii="Times New Roman" w:hAnsi="Times New Roman" w:cs="Times New Roman"/>
          <w:sz w:val="22"/>
          <w:szCs w:val="22"/>
          <w:lang w:val="en-CA"/>
        </w:rPr>
      </w:pPr>
    </w:p>
    <w:p w14:paraId="21A4556F" w14:textId="478B08A2" w:rsidR="00EB63DF" w:rsidRDefault="00EB63DF" w:rsidP="004D69D2">
      <w:pPr>
        <w:jc w:val="both"/>
        <w:rPr>
          <w:rFonts w:ascii="Times New Roman" w:hAnsi="Times New Roman" w:cs="Times New Roman"/>
          <w:sz w:val="22"/>
          <w:szCs w:val="22"/>
          <w:lang w:val="en-CA"/>
        </w:rPr>
      </w:pPr>
    </w:p>
    <w:p w14:paraId="3BD70B2A" w14:textId="77777777" w:rsidR="00F86B88" w:rsidRPr="00CD384F" w:rsidRDefault="00F86B88" w:rsidP="004D69D2">
      <w:pPr>
        <w:jc w:val="both"/>
        <w:rPr>
          <w:rFonts w:ascii="Times New Roman" w:hAnsi="Times New Roman" w:cs="Times New Roman"/>
          <w:sz w:val="22"/>
          <w:szCs w:val="22"/>
          <w:lang w:val="en-CA"/>
        </w:rPr>
      </w:pPr>
    </w:p>
    <w:p w14:paraId="6D4C2BBE" w14:textId="5B1E8096" w:rsidR="00F80CF8" w:rsidRDefault="00DB262F" w:rsidP="00F86B88">
      <w:pPr>
        <w:pStyle w:val="Heading2"/>
        <w:rPr>
          <w:lang w:val="en-CA"/>
        </w:rPr>
      </w:pPr>
      <w:r w:rsidRPr="00CD384F">
        <w:rPr>
          <w:lang w:val="en-CA"/>
        </w:rPr>
        <w:t>Study design</w:t>
      </w:r>
    </w:p>
    <w:p w14:paraId="05BDAD80" w14:textId="4C83ABBD" w:rsidR="00F4047F" w:rsidRDefault="002E00B5" w:rsidP="002E00B5">
      <w:pPr>
        <w:jc w:val="both"/>
        <w:rPr>
          <w:rFonts w:ascii="Times New Roman" w:hAnsi="Times New Roman" w:cs="Times New Roman"/>
          <w:sz w:val="22"/>
          <w:szCs w:val="22"/>
        </w:rPr>
      </w:pPr>
      <w:r w:rsidRPr="002E00B5">
        <w:rPr>
          <w:rFonts w:ascii="Times New Roman" w:hAnsi="Times New Roman" w:cs="Times New Roman"/>
          <w:bCs/>
          <w:sz w:val="22"/>
          <w:szCs w:val="22"/>
          <w:lang w:val="en-CA"/>
        </w:rPr>
        <w:t>Frozen sa</w:t>
      </w:r>
      <w:r w:rsidRPr="002E00B5">
        <w:rPr>
          <w:rFonts w:ascii="Times New Roman" w:hAnsi="Times New Roman" w:cs="Times New Roman"/>
          <w:sz w:val="22"/>
          <w:szCs w:val="22"/>
          <w:lang w:val="en-CA"/>
        </w:rPr>
        <w:t>mples for laboratory tests validation intended for discard will be diverted for potential testing to determine baseline incidence</w:t>
      </w:r>
      <w:r w:rsidR="00C22A6D">
        <w:rPr>
          <w:rFonts w:ascii="Times New Roman" w:hAnsi="Times New Roman" w:cs="Times New Roman"/>
          <w:sz w:val="22"/>
          <w:szCs w:val="22"/>
          <w:lang w:val="en-CA"/>
        </w:rPr>
        <w:t xml:space="preserve"> of </w:t>
      </w:r>
      <w:r w:rsidR="001033F2">
        <w:rPr>
          <w:rFonts w:ascii="Times New Roman" w:hAnsi="Times New Roman" w:cs="Times New Roman"/>
          <w:sz w:val="22"/>
          <w:szCs w:val="22"/>
          <w:lang w:val="en-CA"/>
        </w:rPr>
        <w:t>COVID-19</w:t>
      </w:r>
      <w:r w:rsidRPr="002E00B5">
        <w:rPr>
          <w:rFonts w:ascii="Times New Roman" w:hAnsi="Times New Roman" w:cs="Times New Roman"/>
          <w:sz w:val="22"/>
          <w:szCs w:val="22"/>
          <w:lang w:val="en-CA"/>
        </w:rPr>
        <w:t xml:space="preserve"> seroconversion prior to vaccination.</w:t>
      </w:r>
      <w:r w:rsidR="00D64112" w:rsidRPr="002E00B5">
        <w:rPr>
          <w:rFonts w:ascii="Times New Roman" w:hAnsi="Times New Roman" w:cs="Times New Roman"/>
          <w:sz w:val="22"/>
          <w:szCs w:val="22"/>
          <w:lang w:val="en-CA"/>
        </w:rPr>
        <w:t xml:space="preserve"> </w:t>
      </w:r>
      <w:r w:rsidR="00DB262F" w:rsidRPr="002E00B5">
        <w:rPr>
          <w:rFonts w:ascii="Times New Roman" w:hAnsi="Times New Roman" w:cs="Times New Roman"/>
          <w:sz w:val="22"/>
          <w:szCs w:val="22"/>
          <w:lang w:val="en-CA"/>
        </w:rPr>
        <w:t xml:space="preserve">All </w:t>
      </w:r>
      <w:r w:rsidR="00F07E0E" w:rsidRPr="002E00B5">
        <w:rPr>
          <w:rFonts w:ascii="Times New Roman" w:hAnsi="Times New Roman" w:cs="Times New Roman"/>
          <w:sz w:val="22"/>
          <w:szCs w:val="22"/>
          <w:lang w:val="en-CA"/>
        </w:rPr>
        <w:t>patients with hematologic malignancies</w:t>
      </w:r>
      <w:r w:rsidR="00F4047F">
        <w:rPr>
          <w:rFonts w:ascii="Times New Roman" w:hAnsi="Times New Roman" w:cs="Times New Roman"/>
          <w:sz w:val="22"/>
          <w:szCs w:val="22"/>
          <w:lang w:val="en-CA"/>
        </w:rPr>
        <w:t xml:space="preserve"> </w:t>
      </w:r>
      <w:r w:rsidR="00F07E0E" w:rsidRPr="002E00B5">
        <w:rPr>
          <w:rFonts w:ascii="Times New Roman" w:hAnsi="Times New Roman" w:cs="Times New Roman"/>
          <w:sz w:val="22"/>
          <w:szCs w:val="22"/>
          <w:lang w:val="en-CA"/>
        </w:rPr>
        <w:t>at L</w:t>
      </w:r>
      <w:r w:rsidR="00211B06">
        <w:rPr>
          <w:rFonts w:ascii="Times New Roman" w:hAnsi="Times New Roman" w:cs="Times New Roman"/>
          <w:sz w:val="22"/>
          <w:szCs w:val="22"/>
          <w:lang w:val="en-CA"/>
        </w:rPr>
        <w:t xml:space="preserve">ondon </w:t>
      </w:r>
      <w:r w:rsidR="00F07E0E" w:rsidRPr="002E00B5">
        <w:rPr>
          <w:rFonts w:ascii="Times New Roman" w:hAnsi="Times New Roman" w:cs="Times New Roman"/>
          <w:sz w:val="22"/>
          <w:szCs w:val="22"/>
          <w:lang w:val="en-CA"/>
        </w:rPr>
        <w:t>R</w:t>
      </w:r>
      <w:r w:rsidR="00211B06">
        <w:rPr>
          <w:rFonts w:ascii="Times New Roman" w:hAnsi="Times New Roman" w:cs="Times New Roman"/>
          <w:sz w:val="22"/>
          <w:szCs w:val="22"/>
          <w:lang w:val="en-CA"/>
        </w:rPr>
        <w:t xml:space="preserve">egional </w:t>
      </w:r>
      <w:r w:rsidR="00F07E0E" w:rsidRPr="002E00B5">
        <w:rPr>
          <w:rFonts w:ascii="Times New Roman" w:hAnsi="Times New Roman" w:cs="Times New Roman"/>
          <w:sz w:val="22"/>
          <w:szCs w:val="22"/>
          <w:lang w:val="en-CA"/>
        </w:rPr>
        <w:t>C</w:t>
      </w:r>
      <w:r w:rsidR="00211B06">
        <w:rPr>
          <w:rFonts w:ascii="Times New Roman" w:hAnsi="Times New Roman" w:cs="Times New Roman"/>
          <w:sz w:val="22"/>
          <w:szCs w:val="22"/>
          <w:lang w:val="en-CA"/>
        </w:rPr>
        <w:t xml:space="preserve">ancer </w:t>
      </w:r>
      <w:r w:rsidR="00F07E0E" w:rsidRPr="002E00B5">
        <w:rPr>
          <w:rFonts w:ascii="Times New Roman" w:hAnsi="Times New Roman" w:cs="Times New Roman"/>
          <w:sz w:val="22"/>
          <w:szCs w:val="22"/>
          <w:lang w:val="en-CA"/>
        </w:rPr>
        <w:t>P</w:t>
      </w:r>
      <w:r w:rsidR="00211B06">
        <w:rPr>
          <w:rFonts w:ascii="Times New Roman" w:hAnsi="Times New Roman" w:cs="Times New Roman"/>
          <w:sz w:val="22"/>
          <w:szCs w:val="22"/>
          <w:lang w:val="en-CA"/>
        </w:rPr>
        <w:t>rogram (LRCP)</w:t>
      </w:r>
      <w:r w:rsidR="00F07E0E" w:rsidRPr="002E00B5">
        <w:rPr>
          <w:rFonts w:ascii="Times New Roman" w:hAnsi="Times New Roman" w:cs="Times New Roman"/>
          <w:sz w:val="22"/>
          <w:szCs w:val="22"/>
          <w:lang w:val="en-CA"/>
        </w:rPr>
        <w:t xml:space="preserve"> </w:t>
      </w:r>
      <w:r w:rsidR="00F4047F">
        <w:rPr>
          <w:rFonts w:ascii="Times New Roman" w:hAnsi="Times New Roman" w:cs="Times New Roman"/>
          <w:sz w:val="22"/>
          <w:szCs w:val="22"/>
          <w:lang w:val="en-CA"/>
        </w:rPr>
        <w:t xml:space="preserve">intending to be or have been vaccinated </w:t>
      </w:r>
      <w:r>
        <w:rPr>
          <w:rFonts w:ascii="Times New Roman" w:hAnsi="Times New Roman" w:cs="Times New Roman"/>
          <w:sz w:val="22"/>
          <w:szCs w:val="22"/>
          <w:lang w:val="en-CA"/>
        </w:rPr>
        <w:t>will</w:t>
      </w:r>
      <w:r w:rsidRPr="002E00B5">
        <w:rPr>
          <w:rFonts w:ascii="Times New Roman" w:hAnsi="Times New Roman" w:cs="Times New Roman"/>
          <w:sz w:val="22"/>
          <w:szCs w:val="22"/>
          <w:lang w:val="en-CA"/>
        </w:rPr>
        <w:t xml:space="preserve"> </w:t>
      </w:r>
      <w:r w:rsidR="00DB262F" w:rsidRPr="002E00B5">
        <w:rPr>
          <w:rFonts w:ascii="Times New Roman" w:hAnsi="Times New Roman" w:cs="Times New Roman"/>
          <w:sz w:val="22"/>
          <w:szCs w:val="22"/>
          <w:lang w:val="en-CA"/>
        </w:rPr>
        <w:t xml:space="preserve">be invited to </w:t>
      </w:r>
      <w:r w:rsidR="003C07E9" w:rsidRPr="002E00B5">
        <w:rPr>
          <w:rFonts w:ascii="Times New Roman" w:hAnsi="Times New Roman" w:cs="Times New Roman"/>
          <w:sz w:val="22"/>
          <w:szCs w:val="22"/>
          <w:lang w:val="en-CA"/>
        </w:rPr>
        <w:t>participate</w:t>
      </w:r>
      <w:r w:rsidR="00DB262F" w:rsidRPr="005F4BAB">
        <w:rPr>
          <w:rFonts w:ascii="Times New Roman" w:hAnsi="Times New Roman" w:cs="Times New Roman"/>
          <w:sz w:val="22"/>
          <w:szCs w:val="22"/>
          <w:lang w:val="en-CA"/>
        </w:rPr>
        <w:t xml:space="preserve"> in the study</w:t>
      </w:r>
      <w:r w:rsidR="00F27841" w:rsidRPr="002E00B5">
        <w:rPr>
          <w:rFonts w:ascii="Times New Roman" w:hAnsi="Times New Roman" w:cs="Times New Roman"/>
          <w:sz w:val="22"/>
          <w:szCs w:val="22"/>
          <w:lang w:val="en-CA"/>
        </w:rPr>
        <w:t xml:space="preserve">. </w:t>
      </w:r>
      <w:r>
        <w:rPr>
          <w:rFonts w:ascii="Times New Roman" w:hAnsi="Times New Roman" w:cs="Times New Roman"/>
          <w:sz w:val="22"/>
          <w:szCs w:val="22"/>
          <w:lang w:val="en-CA"/>
        </w:rPr>
        <w:t>A</w:t>
      </w:r>
      <w:r w:rsidR="003C07E9" w:rsidRPr="005F4BAB">
        <w:rPr>
          <w:rFonts w:ascii="Times New Roman" w:hAnsi="Times New Roman" w:cs="Times New Roman"/>
          <w:sz w:val="22"/>
          <w:szCs w:val="22"/>
          <w:lang w:val="en-CA"/>
        </w:rPr>
        <w:t xml:space="preserve">fter </w:t>
      </w:r>
      <w:r w:rsidR="00B33A49">
        <w:rPr>
          <w:rFonts w:ascii="Times New Roman" w:hAnsi="Times New Roman" w:cs="Times New Roman"/>
          <w:sz w:val="22"/>
          <w:szCs w:val="22"/>
          <w:lang w:val="en-CA"/>
        </w:rPr>
        <w:t xml:space="preserve">an </w:t>
      </w:r>
      <w:r w:rsidR="003C07E9" w:rsidRPr="005F4BAB">
        <w:rPr>
          <w:rFonts w:ascii="Times New Roman" w:hAnsi="Times New Roman" w:cs="Times New Roman"/>
          <w:sz w:val="22"/>
          <w:szCs w:val="22"/>
          <w:lang w:val="en-CA"/>
        </w:rPr>
        <w:t>informed consent</w:t>
      </w:r>
      <w:r>
        <w:rPr>
          <w:rFonts w:ascii="Times New Roman" w:hAnsi="Times New Roman" w:cs="Times New Roman"/>
          <w:sz w:val="22"/>
          <w:szCs w:val="22"/>
          <w:lang w:val="en-CA"/>
        </w:rPr>
        <w:t>,</w:t>
      </w:r>
      <w:r w:rsidR="003C07E9" w:rsidRPr="005F4BAB">
        <w:rPr>
          <w:rFonts w:ascii="Times New Roman" w:hAnsi="Times New Roman" w:cs="Times New Roman"/>
          <w:sz w:val="22"/>
          <w:szCs w:val="22"/>
          <w:lang w:val="en-CA"/>
        </w:rPr>
        <w:t xml:space="preserve"> </w:t>
      </w:r>
      <w:r w:rsidR="00A63577">
        <w:rPr>
          <w:rFonts w:ascii="Times New Roman" w:hAnsi="Times New Roman" w:cs="Times New Roman"/>
          <w:sz w:val="22"/>
          <w:szCs w:val="22"/>
          <w:lang w:val="en-CA"/>
        </w:rPr>
        <w:t>participants</w:t>
      </w:r>
      <w:r w:rsidR="00A63577" w:rsidRPr="005F4BAB">
        <w:rPr>
          <w:rFonts w:ascii="Times New Roman" w:hAnsi="Times New Roman" w:cs="Times New Roman"/>
          <w:sz w:val="22"/>
          <w:szCs w:val="22"/>
        </w:rPr>
        <w:t xml:space="preserve"> </w:t>
      </w:r>
      <w:r>
        <w:rPr>
          <w:rFonts w:ascii="Times New Roman" w:hAnsi="Times New Roman" w:cs="Times New Roman"/>
          <w:sz w:val="22"/>
          <w:szCs w:val="22"/>
        </w:rPr>
        <w:t>will</w:t>
      </w:r>
      <w:r w:rsidRPr="005F4BAB">
        <w:rPr>
          <w:rFonts w:ascii="Times New Roman" w:hAnsi="Times New Roman" w:cs="Times New Roman"/>
          <w:sz w:val="22"/>
          <w:szCs w:val="22"/>
        </w:rPr>
        <w:t xml:space="preserve"> </w:t>
      </w:r>
      <w:r w:rsidR="003C07E9" w:rsidRPr="005F4BAB">
        <w:rPr>
          <w:rFonts w:ascii="Times New Roman" w:hAnsi="Times New Roman" w:cs="Times New Roman"/>
          <w:sz w:val="22"/>
          <w:szCs w:val="22"/>
        </w:rPr>
        <w:t xml:space="preserve">complete a short </w:t>
      </w:r>
      <w:r w:rsidR="003346F2" w:rsidRPr="002E00B5">
        <w:rPr>
          <w:rFonts w:ascii="Times New Roman" w:eastAsia="Times New Roman" w:hAnsi="Times New Roman" w:cs="Times New Roman"/>
          <w:sz w:val="22"/>
          <w:szCs w:val="22"/>
        </w:rPr>
        <w:t>questionnaire to</w:t>
      </w:r>
      <w:r w:rsidR="003C07E9" w:rsidRPr="002E00B5">
        <w:rPr>
          <w:rFonts w:ascii="Times New Roman" w:eastAsia="Times New Roman" w:hAnsi="Times New Roman" w:cs="Times New Roman"/>
          <w:sz w:val="22"/>
          <w:szCs w:val="22"/>
        </w:rPr>
        <w:t xml:space="preserve"> identify </w:t>
      </w:r>
      <w:r>
        <w:rPr>
          <w:rFonts w:ascii="Times New Roman" w:eastAsia="Times New Roman" w:hAnsi="Times New Roman" w:cs="Times New Roman"/>
          <w:sz w:val="22"/>
          <w:szCs w:val="22"/>
        </w:rPr>
        <w:t>the dates of vaccine administration</w:t>
      </w:r>
      <w:r w:rsidR="004C76F8">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the type of vaccine received/to be given</w:t>
      </w:r>
      <w:r w:rsidR="004C76F8">
        <w:rPr>
          <w:rFonts w:ascii="Times New Roman" w:eastAsia="Times New Roman" w:hAnsi="Times New Roman" w:cs="Times New Roman"/>
          <w:sz w:val="22"/>
          <w:szCs w:val="22"/>
        </w:rPr>
        <w:t>,</w:t>
      </w:r>
      <w:r w:rsidR="00BE206D">
        <w:rPr>
          <w:rFonts w:ascii="Times New Roman" w:eastAsia="Times New Roman" w:hAnsi="Times New Roman" w:cs="Times New Roman"/>
          <w:sz w:val="22"/>
          <w:szCs w:val="22"/>
        </w:rPr>
        <w:t xml:space="preserve"> and if their anti-cancer treatment have been altered by their oncologist to facilitate receipt of COVID-19 vaccine</w:t>
      </w:r>
      <w:r w:rsidR="00D62331">
        <w:rPr>
          <w:rFonts w:ascii="Times New Roman" w:hAnsi="Times New Roman" w:cs="Times New Roman"/>
          <w:sz w:val="22"/>
          <w:szCs w:val="22"/>
          <w:lang w:val="en-CA"/>
        </w:rPr>
        <w:t xml:space="preserve">. </w:t>
      </w:r>
      <w:r w:rsidR="00BE206D">
        <w:rPr>
          <w:rFonts w:ascii="Times New Roman" w:hAnsi="Times New Roman" w:cs="Times New Roman"/>
          <w:sz w:val="22"/>
          <w:szCs w:val="22"/>
          <w:lang w:val="en-CA"/>
        </w:rPr>
        <w:t xml:space="preserve">The questionnaire will also ask if they have received Rituximab within 6 months of their first dose of COVID-19 vaccination. </w:t>
      </w:r>
      <w:r w:rsidR="00D62331" w:rsidRPr="00B01D92">
        <w:rPr>
          <w:rFonts w:ascii="Times New Roman" w:hAnsi="Times New Roman" w:cs="Times New Roman"/>
          <w:sz w:val="22"/>
          <w:szCs w:val="22"/>
        </w:rPr>
        <w:t>A chart review will subsequently be completed</w:t>
      </w:r>
      <w:r w:rsidR="00281AFF">
        <w:rPr>
          <w:rFonts w:ascii="Times New Roman" w:hAnsi="Times New Roman" w:cs="Times New Roman"/>
          <w:sz w:val="22"/>
          <w:szCs w:val="22"/>
        </w:rPr>
        <w:t xml:space="preserve"> to</w:t>
      </w:r>
      <w:r w:rsidR="00D62331" w:rsidRPr="00B01D92">
        <w:rPr>
          <w:rFonts w:ascii="Times New Roman" w:hAnsi="Times New Roman" w:cs="Times New Roman"/>
          <w:sz w:val="22"/>
          <w:szCs w:val="22"/>
        </w:rPr>
        <w:t xml:space="preserve"> </w:t>
      </w:r>
      <w:r w:rsidR="00281AFF">
        <w:rPr>
          <w:rFonts w:ascii="Times New Roman" w:hAnsi="Times New Roman" w:cs="Times New Roman"/>
          <w:sz w:val="22"/>
          <w:szCs w:val="22"/>
        </w:rPr>
        <w:t xml:space="preserve">retrospectively </w:t>
      </w:r>
      <w:r w:rsidR="00D62331" w:rsidRPr="00B01D92">
        <w:rPr>
          <w:rFonts w:ascii="Times New Roman" w:hAnsi="Times New Roman" w:cs="Times New Roman"/>
          <w:sz w:val="22"/>
          <w:szCs w:val="22"/>
        </w:rPr>
        <w:t>identify a</w:t>
      </w:r>
      <w:r w:rsidR="00D62331">
        <w:rPr>
          <w:rFonts w:ascii="Times New Roman" w:hAnsi="Times New Roman" w:cs="Times New Roman"/>
          <w:sz w:val="22"/>
          <w:szCs w:val="22"/>
        </w:rPr>
        <w:t xml:space="preserve">ge, sex, </w:t>
      </w:r>
      <w:r w:rsidR="00E1400E">
        <w:rPr>
          <w:rFonts w:ascii="Times New Roman" w:hAnsi="Times New Roman" w:cs="Times New Roman"/>
          <w:sz w:val="22"/>
          <w:szCs w:val="22"/>
        </w:rPr>
        <w:t>diagnosis,</w:t>
      </w:r>
      <w:r w:rsidR="00D62331">
        <w:rPr>
          <w:rFonts w:ascii="Times New Roman" w:hAnsi="Times New Roman" w:cs="Times New Roman"/>
          <w:sz w:val="22"/>
          <w:szCs w:val="22"/>
        </w:rPr>
        <w:t xml:space="preserve"> and treatment related to hematology malignancy, comorbidities, performance status</w:t>
      </w:r>
      <w:r w:rsidR="00281AFF">
        <w:rPr>
          <w:rFonts w:ascii="Times New Roman" w:hAnsi="Times New Roman" w:cs="Times New Roman"/>
          <w:sz w:val="22"/>
          <w:szCs w:val="22"/>
        </w:rPr>
        <w:t>, and pertinent lab test results</w:t>
      </w:r>
      <w:r w:rsidR="00D62331">
        <w:rPr>
          <w:rFonts w:ascii="Times New Roman" w:hAnsi="Times New Roman" w:cs="Times New Roman"/>
          <w:sz w:val="22"/>
          <w:szCs w:val="22"/>
        </w:rPr>
        <w:t>.</w:t>
      </w:r>
      <w:r>
        <w:rPr>
          <w:rFonts w:ascii="Times New Roman" w:eastAsia="Times New Roman" w:hAnsi="Times New Roman" w:cs="Times New Roman"/>
          <w:sz w:val="22"/>
          <w:szCs w:val="22"/>
        </w:rPr>
        <w:t xml:space="preserve"> </w:t>
      </w:r>
      <w:r w:rsidR="00E1400E">
        <w:rPr>
          <w:rFonts w:ascii="Times New Roman" w:eastAsia="Times New Roman" w:hAnsi="Times New Roman" w:cs="Times New Roman"/>
          <w:sz w:val="22"/>
          <w:szCs w:val="22"/>
        </w:rPr>
        <w:t xml:space="preserve">We will test </w:t>
      </w:r>
      <w:r w:rsidR="00E1400E">
        <w:rPr>
          <w:rFonts w:ascii="Times New Roman" w:hAnsi="Times New Roman" w:cs="Times New Roman"/>
          <w:sz w:val="22"/>
          <w:szCs w:val="22"/>
        </w:rPr>
        <w:t>e</w:t>
      </w:r>
      <w:r>
        <w:rPr>
          <w:rFonts w:ascii="Times New Roman" w:hAnsi="Times New Roman" w:cs="Times New Roman"/>
          <w:sz w:val="22"/>
          <w:szCs w:val="22"/>
        </w:rPr>
        <w:t>ligible patients</w:t>
      </w:r>
      <w:r w:rsidR="00E1400E">
        <w:rPr>
          <w:rFonts w:ascii="Times New Roman" w:hAnsi="Times New Roman" w:cs="Times New Roman"/>
          <w:sz w:val="22"/>
          <w:szCs w:val="22"/>
        </w:rPr>
        <w:t>’ blood samples</w:t>
      </w:r>
      <w:r>
        <w:rPr>
          <w:rFonts w:ascii="Times New Roman" w:hAnsi="Times New Roman" w:cs="Times New Roman"/>
          <w:sz w:val="22"/>
          <w:szCs w:val="22"/>
        </w:rPr>
        <w:t xml:space="preserve"> </w:t>
      </w:r>
      <w:r w:rsidR="00E1400E">
        <w:rPr>
          <w:rFonts w:ascii="Times New Roman" w:hAnsi="Times New Roman" w:cs="Times New Roman"/>
          <w:sz w:val="22"/>
          <w:szCs w:val="22"/>
        </w:rPr>
        <w:t>from their routine blood work as part of the</w:t>
      </w:r>
      <w:r w:rsidR="00FA72CB">
        <w:rPr>
          <w:rFonts w:ascii="Times New Roman" w:hAnsi="Times New Roman" w:cs="Times New Roman"/>
          <w:sz w:val="22"/>
          <w:szCs w:val="22"/>
        </w:rPr>
        <w:t>ir</w:t>
      </w:r>
      <w:r w:rsidR="00E1400E">
        <w:rPr>
          <w:rFonts w:ascii="Times New Roman" w:hAnsi="Times New Roman" w:cs="Times New Roman"/>
          <w:sz w:val="22"/>
          <w:szCs w:val="22"/>
        </w:rPr>
        <w:t xml:space="preserve"> LRCP </w:t>
      </w:r>
      <w:r w:rsidR="00FA72CB">
        <w:rPr>
          <w:rFonts w:ascii="Times New Roman" w:hAnsi="Times New Roman" w:cs="Times New Roman"/>
          <w:sz w:val="22"/>
          <w:szCs w:val="22"/>
        </w:rPr>
        <w:t>clinic follow-up to determine vaccine responses at the following time points:</w:t>
      </w:r>
      <w:r w:rsidR="005069EA">
        <w:rPr>
          <w:rFonts w:ascii="Times New Roman" w:hAnsi="Times New Roman" w:cs="Times New Roman"/>
          <w:sz w:val="22"/>
          <w:szCs w:val="22"/>
        </w:rPr>
        <w:t xml:space="preserve"> before vaccination,</w:t>
      </w:r>
      <w:r w:rsidR="00E1400E">
        <w:rPr>
          <w:rFonts w:ascii="Times New Roman" w:hAnsi="Times New Roman" w:cs="Times New Roman"/>
          <w:sz w:val="22"/>
          <w:szCs w:val="22"/>
        </w:rPr>
        <w:t xml:space="preserve"> </w:t>
      </w:r>
      <w:r w:rsidR="00E1400E" w:rsidRPr="00FA72CB">
        <w:rPr>
          <w:rFonts w:ascii="Times New Roman" w:hAnsi="Times New Roman" w:cs="Times New Roman"/>
          <w:sz w:val="22"/>
          <w:szCs w:val="22"/>
        </w:rPr>
        <w:t xml:space="preserve">after </w:t>
      </w:r>
      <w:r w:rsidR="005069EA">
        <w:rPr>
          <w:rFonts w:ascii="Times New Roman" w:hAnsi="Times New Roman" w:cs="Times New Roman"/>
          <w:sz w:val="22"/>
          <w:szCs w:val="22"/>
        </w:rPr>
        <w:t>2</w:t>
      </w:r>
      <w:r w:rsidR="00B01D92" w:rsidRPr="00FA72CB">
        <w:rPr>
          <w:rFonts w:ascii="Times New Roman" w:hAnsi="Times New Roman" w:cs="Times New Roman"/>
          <w:sz w:val="22"/>
          <w:szCs w:val="22"/>
        </w:rPr>
        <w:t xml:space="preserve"> </w:t>
      </w:r>
      <w:r w:rsidRPr="00FA72CB">
        <w:rPr>
          <w:rFonts w:ascii="Times New Roman" w:hAnsi="Times New Roman" w:cs="Times New Roman"/>
          <w:sz w:val="22"/>
          <w:szCs w:val="22"/>
        </w:rPr>
        <w:t>weeks</w:t>
      </w:r>
      <w:r w:rsidR="007F1042">
        <w:rPr>
          <w:rFonts w:ascii="Times New Roman" w:hAnsi="Times New Roman" w:cs="Times New Roman"/>
          <w:sz w:val="22"/>
          <w:szCs w:val="22"/>
        </w:rPr>
        <w:t xml:space="preserve"> </w:t>
      </w:r>
      <w:r w:rsidR="004308A3">
        <w:rPr>
          <w:rFonts w:ascii="Times New Roman" w:hAnsi="Times New Roman" w:cs="Times New Roman"/>
          <w:sz w:val="22"/>
          <w:szCs w:val="22"/>
        </w:rPr>
        <w:t>(up to 6 weeks but before the second dose) of the first dose,</w:t>
      </w:r>
      <w:r w:rsidR="007F1042">
        <w:rPr>
          <w:rFonts w:ascii="Times New Roman" w:hAnsi="Times New Roman" w:cs="Times New Roman"/>
          <w:sz w:val="22"/>
          <w:szCs w:val="22"/>
        </w:rPr>
        <w:t xml:space="preserve"> </w:t>
      </w:r>
      <w:r w:rsidR="004308A3">
        <w:rPr>
          <w:rFonts w:ascii="Times New Roman" w:hAnsi="Times New Roman" w:cs="Times New Roman"/>
          <w:sz w:val="22"/>
          <w:szCs w:val="22"/>
        </w:rPr>
        <w:t>after 2 weeks (up to 6 weeks) of the second dose,</w:t>
      </w:r>
      <w:r w:rsidR="004308A3" w:rsidDel="004308A3">
        <w:rPr>
          <w:rFonts w:ascii="Times New Roman" w:hAnsi="Times New Roman" w:cs="Times New Roman"/>
          <w:sz w:val="22"/>
          <w:szCs w:val="22"/>
        </w:rPr>
        <w:t xml:space="preserve"> </w:t>
      </w:r>
      <w:r w:rsidR="007F1042">
        <w:rPr>
          <w:rFonts w:ascii="Times New Roman" w:hAnsi="Times New Roman" w:cs="Times New Roman"/>
          <w:sz w:val="22"/>
          <w:szCs w:val="22"/>
        </w:rPr>
        <w:t xml:space="preserve">at </w:t>
      </w:r>
      <w:r w:rsidR="009B0997" w:rsidRPr="00FA72CB">
        <w:rPr>
          <w:rFonts w:ascii="Times New Roman" w:hAnsi="Times New Roman" w:cs="Times New Roman"/>
          <w:sz w:val="22"/>
          <w:szCs w:val="22"/>
        </w:rPr>
        <w:t>3</w:t>
      </w:r>
      <w:r w:rsidR="00B01D92" w:rsidRPr="00FA72CB">
        <w:rPr>
          <w:rFonts w:ascii="Times New Roman" w:hAnsi="Times New Roman" w:cs="Times New Roman"/>
          <w:sz w:val="22"/>
          <w:szCs w:val="22"/>
        </w:rPr>
        <w:t>(±1)</w:t>
      </w:r>
      <w:r w:rsidR="007F1042">
        <w:rPr>
          <w:rFonts w:ascii="Times New Roman" w:hAnsi="Times New Roman" w:cs="Times New Roman"/>
          <w:sz w:val="22"/>
          <w:szCs w:val="22"/>
        </w:rPr>
        <w:t xml:space="preserve"> months</w:t>
      </w:r>
      <w:r w:rsidR="00FA72CB">
        <w:rPr>
          <w:rFonts w:ascii="Times New Roman" w:hAnsi="Times New Roman" w:cs="Times New Roman"/>
          <w:sz w:val="22"/>
          <w:szCs w:val="22"/>
        </w:rPr>
        <w:t xml:space="preserve">, </w:t>
      </w:r>
      <w:r w:rsidR="00FA72CB" w:rsidRPr="00FA72CB">
        <w:rPr>
          <w:rFonts w:ascii="Times New Roman" w:hAnsi="Times New Roman" w:cs="Times New Roman"/>
          <w:sz w:val="22"/>
          <w:szCs w:val="22"/>
        </w:rPr>
        <w:t>6(±</w:t>
      </w:r>
      <w:r w:rsidR="005069EA">
        <w:rPr>
          <w:rFonts w:ascii="Times New Roman" w:hAnsi="Times New Roman" w:cs="Times New Roman"/>
          <w:sz w:val="22"/>
          <w:szCs w:val="22"/>
        </w:rPr>
        <w:t>1</w:t>
      </w:r>
      <w:r w:rsidR="00FA72CB" w:rsidRPr="00FA72CB">
        <w:rPr>
          <w:rFonts w:ascii="Times New Roman" w:hAnsi="Times New Roman" w:cs="Times New Roman"/>
          <w:sz w:val="22"/>
          <w:szCs w:val="22"/>
        </w:rPr>
        <w:t>)</w:t>
      </w:r>
      <w:r w:rsidR="00FA72CB">
        <w:rPr>
          <w:rFonts w:ascii="Times New Roman" w:hAnsi="Times New Roman" w:cs="Times New Roman"/>
          <w:sz w:val="22"/>
          <w:szCs w:val="22"/>
        </w:rPr>
        <w:t>,</w:t>
      </w:r>
      <w:r w:rsidR="00FA72CB" w:rsidRPr="00FA72CB">
        <w:rPr>
          <w:rFonts w:ascii="Times New Roman" w:hAnsi="Times New Roman" w:cs="Times New Roman"/>
          <w:sz w:val="22"/>
          <w:szCs w:val="22"/>
        </w:rPr>
        <w:t xml:space="preserve"> and</w:t>
      </w:r>
      <w:r w:rsidR="007F1042">
        <w:rPr>
          <w:rFonts w:ascii="Times New Roman" w:hAnsi="Times New Roman" w:cs="Times New Roman"/>
          <w:sz w:val="22"/>
          <w:szCs w:val="22"/>
        </w:rPr>
        <w:t>/or</w:t>
      </w:r>
      <w:r w:rsidR="00FA72CB" w:rsidRPr="00FA72CB">
        <w:rPr>
          <w:rFonts w:ascii="Times New Roman" w:hAnsi="Times New Roman" w:cs="Times New Roman"/>
          <w:sz w:val="22"/>
          <w:szCs w:val="22"/>
        </w:rPr>
        <w:t xml:space="preserve"> 12(±</w:t>
      </w:r>
      <w:r w:rsidR="005069EA">
        <w:rPr>
          <w:rFonts w:ascii="Times New Roman" w:hAnsi="Times New Roman" w:cs="Times New Roman"/>
          <w:sz w:val="22"/>
          <w:szCs w:val="22"/>
        </w:rPr>
        <w:t>1</w:t>
      </w:r>
      <w:r w:rsidR="00FA72CB" w:rsidRPr="00FA72CB">
        <w:rPr>
          <w:rFonts w:ascii="Times New Roman" w:hAnsi="Times New Roman" w:cs="Times New Roman"/>
          <w:sz w:val="22"/>
          <w:szCs w:val="22"/>
        </w:rPr>
        <w:t xml:space="preserve">) months </w:t>
      </w:r>
      <w:r w:rsidR="007F1042">
        <w:rPr>
          <w:rFonts w:ascii="Times New Roman" w:hAnsi="Times New Roman" w:cs="Times New Roman"/>
          <w:sz w:val="22"/>
          <w:szCs w:val="22"/>
        </w:rPr>
        <w:t>from</w:t>
      </w:r>
      <w:r w:rsidR="00FA72CB" w:rsidRPr="00FA72CB">
        <w:rPr>
          <w:rFonts w:ascii="Times New Roman" w:hAnsi="Times New Roman" w:cs="Times New Roman"/>
          <w:sz w:val="22"/>
          <w:szCs w:val="22"/>
        </w:rPr>
        <w:t xml:space="preserve"> the </w:t>
      </w:r>
      <w:r w:rsidR="005069EA">
        <w:rPr>
          <w:rFonts w:ascii="Times New Roman" w:hAnsi="Times New Roman" w:cs="Times New Roman"/>
          <w:sz w:val="22"/>
          <w:szCs w:val="22"/>
        </w:rPr>
        <w:t>second dose of</w:t>
      </w:r>
      <w:r w:rsidR="00FA72CB" w:rsidRPr="00FA72CB">
        <w:rPr>
          <w:rFonts w:ascii="Times New Roman" w:hAnsi="Times New Roman" w:cs="Times New Roman"/>
          <w:sz w:val="22"/>
          <w:szCs w:val="22"/>
        </w:rPr>
        <w:t xml:space="preserve"> vaccine</w:t>
      </w:r>
      <w:r w:rsidR="00FA72CB">
        <w:rPr>
          <w:rFonts w:ascii="Times New Roman" w:hAnsi="Times New Roman" w:cs="Times New Roman"/>
          <w:sz w:val="22"/>
          <w:szCs w:val="22"/>
        </w:rPr>
        <w:t xml:space="preserve">. </w:t>
      </w:r>
      <w:r w:rsidR="004308A3">
        <w:rPr>
          <w:rFonts w:ascii="Times New Roman" w:hAnsi="Times New Roman" w:cs="Times New Roman"/>
          <w:sz w:val="22"/>
          <w:szCs w:val="22"/>
        </w:rPr>
        <w:t xml:space="preserve">The flexibility in the study timepoint window is to minimize additional visits to the LRCP clinic. </w:t>
      </w:r>
      <w:r w:rsidR="00A1063A">
        <w:rPr>
          <w:rFonts w:ascii="Times New Roman" w:hAnsi="Times New Roman" w:cs="Times New Roman"/>
          <w:sz w:val="22"/>
          <w:szCs w:val="22"/>
        </w:rPr>
        <w:t xml:space="preserve">The </w:t>
      </w:r>
      <w:r w:rsidR="00A1063A" w:rsidRPr="00FA72CB">
        <w:rPr>
          <w:rFonts w:ascii="Times New Roman" w:hAnsi="Times New Roman" w:cs="Times New Roman"/>
          <w:sz w:val="22"/>
          <w:szCs w:val="22"/>
        </w:rPr>
        <w:t>6(±</w:t>
      </w:r>
      <w:r w:rsidR="00A1063A">
        <w:rPr>
          <w:rFonts w:ascii="Times New Roman" w:hAnsi="Times New Roman" w:cs="Times New Roman"/>
          <w:sz w:val="22"/>
          <w:szCs w:val="22"/>
        </w:rPr>
        <w:t>1</w:t>
      </w:r>
      <w:r w:rsidR="00A1063A" w:rsidRPr="00FA72CB">
        <w:rPr>
          <w:rFonts w:ascii="Times New Roman" w:hAnsi="Times New Roman" w:cs="Times New Roman"/>
          <w:sz w:val="22"/>
          <w:szCs w:val="22"/>
        </w:rPr>
        <w:t>)</w:t>
      </w:r>
      <w:r w:rsidR="00A1063A">
        <w:rPr>
          <w:rFonts w:ascii="Times New Roman" w:hAnsi="Times New Roman" w:cs="Times New Roman"/>
          <w:sz w:val="22"/>
          <w:szCs w:val="22"/>
        </w:rPr>
        <w:t>,</w:t>
      </w:r>
      <w:r w:rsidR="00A1063A" w:rsidRPr="00FA72CB">
        <w:rPr>
          <w:rFonts w:ascii="Times New Roman" w:hAnsi="Times New Roman" w:cs="Times New Roman"/>
          <w:sz w:val="22"/>
          <w:szCs w:val="22"/>
        </w:rPr>
        <w:t xml:space="preserve"> and</w:t>
      </w:r>
      <w:r w:rsidR="00A1063A">
        <w:rPr>
          <w:rFonts w:ascii="Times New Roman" w:hAnsi="Times New Roman" w:cs="Times New Roman"/>
          <w:sz w:val="22"/>
          <w:szCs w:val="22"/>
        </w:rPr>
        <w:t>/or</w:t>
      </w:r>
      <w:r w:rsidR="00A1063A" w:rsidRPr="00FA72CB">
        <w:rPr>
          <w:rFonts w:ascii="Times New Roman" w:hAnsi="Times New Roman" w:cs="Times New Roman"/>
          <w:sz w:val="22"/>
          <w:szCs w:val="22"/>
        </w:rPr>
        <w:t xml:space="preserve"> 12(±</w:t>
      </w:r>
      <w:r w:rsidR="00A1063A">
        <w:rPr>
          <w:rFonts w:ascii="Times New Roman" w:hAnsi="Times New Roman" w:cs="Times New Roman"/>
          <w:sz w:val="22"/>
          <w:szCs w:val="22"/>
        </w:rPr>
        <w:t>1</w:t>
      </w:r>
      <w:r w:rsidR="00A1063A" w:rsidRPr="00FA72CB">
        <w:rPr>
          <w:rFonts w:ascii="Times New Roman" w:hAnsi="Times New Roman" w:cs="Times New Roman"/>
          <w:sz w:val="22"/>
          <w:szCs w:val="22"/>
        </w:rPr>
        <w:t xml:space="preserve">) months </w:t>
      </w:r>
      <w:r w:rsidR="00A1063A">
        <w:rPr>
          <w:rFonts w:ascii="Times New Roman" w:hAnsi="Times New Roman" w:cs="Times New Roman"/>
          <w:sz w:val="22"/>
          <w:szCs w:val="22"/>
        </w:rPr>
        <w:t xml:space="preserve">lab draw will only be completed if antibody response is detected in the </w:t>
      </w:r>
      <w:r w:rsidR="00A1063A" w:rsidRPr="00FA72CB">
        <w:rPr>
          <w:rFonts w:ascii="Times New Roman" w:hAnsi="Times New Roman" w:cs="Times New Roman"/>
          <w:sz w:val="22"/>
          <w:szCs w:val="22"/>
        </w:rPr>
        <w:t>3(±1)</w:t>
      </w:r>
      <w:r w:rsidR="00A1063A">
        <w:rPr>
          <w:rFonts w:ascii="Times New Roman" w:hAnsi="Times New Roman" w:cs="Times New Roman"/>
          <w:sz w:val="22"/>
          <w:szCs w:val="22"/>
        </w:rPr>
        <w:t xml:space="preserve"> months lab draw. </w:t>
      </w:r>
      <w:r w:rsidR="00940656">
        <w:rPr>
          <w:rFonts w:ascii="Times New Roman" w:hAnsi="Times New Roman" w:cs="Times New Roman"/>
          <w:sz w:val="22"/>
          <w:szCs w:val="22"/>
        </w:rPr>
        <w:t xml:space="preserve">If the period between the first and second doses is greater than 9 weeks, vaccine response within 4 weeks of </w:t>
      </w:r>
      <w:r w:rsidR="00FF7C8D">
        <w:rPr>
          <w:rFonts w:ascii="Times New Roman" w:hAnsi="Times New Roman" w:cs="Times New Roman"/>
          <w:sz w:val="22"/>
          <w:szCs w:val="22"/>
        </w:rPr>
        <w:t xml:space="preserve">second dose </w:t>
      </w:r>
      <w:r w:rsidR="00940656">
        <w:rPr>
          <w:rFonts w:ascii="Times New Roman" w:hAnsi="Times New Roman" w:cs="Times New Roman"/>
          <w:sz w:val="22"/>
          <w:szCs w:val="22"/>
        </w:rPr>
        <w:t xml:space="preserve">will also be determined. </w:t>
      </w:r>
      <w:r w:rsidR="007F1042" w:rsidRPr="00FA72CB">
        <w:rPr>
          <w:rFonts w:ascii="Times New Roman" w:hAnsi="Times New Roman" w:cs="Times New Roman"/>
          <w:sz w:val="22"/>
          <w:szCs w:val="22"/>
        </w:rPr>
        <w:t>If</w:t>
      </w:r>
      <w:r w:rsidR="007F1042">
        <w:rPr>
          <w:rFonts w:ascii="Times New Roman" w:hAnsi="Times New Roman" w:cs="Times New Roman"/>
          <w:sz w:val="22"/>
          <w:szCs w:val="22"/>
        </w:rPr>
        <w:t xml:space="preserve"> their intended follow-up routine bloodwork does not fall within the window</w:t>
      </w:r>
      <w:r w:rsidR="00112502">
        <w:rPr>
          <w:rFonts w:ascii="Times New Roman" w:hAnsi="Times New Roman" w:cs="Times New Roman"/>
          <w:sz w:val="22"/>
          <w:szCs w:val="22"/>
        </w:rPr>
        <w:t>s</w:t>
      </w:r>
      <w:r w:rsidR="007F1042">
        <w:rPr>
          <w:rFonts w:ascii="Times New Roman" w:hAnsi="Times New Roman" w:cs="Times New Roman"/>
          <w:sz w:val="22"/>
          <w:szCs w:val="22"/>
        </w:rPr>
        <w:t xml:space="preserve"> as listed above, we may invite patients for an unscheduled visit for an additional lab draw</w:t>
      </w:r>
      <w:r w:rsidR="00DD0D68">
        <w:rPr>
          <w:rFonts w:ascii="Times New Roman" w:hAnsi="Times New Roman" w:cs="Times New Roman"/>
          <w:sz w:val="22"/>
          <w:szCs w:val="22"/>
        </w:rPr>
        <w:t xml:space="preserve"> of 5 </w:t>
      </w:r>
      <w:proofErr w:type="spellStart"/>
      <w:r w:rsidR="00DD0D68">
        <w:rPr>
          <w:rFonts w:ascii="Times New Roman" w:hAnsi="Times New Roman" w:cs="Times New Roman"/>
          <w:sz w:val="22"/>
          <w:szCs w:val="22"/>
        </w:rPr>
        <w:t>mL</w:t>
      </w:r>
      <w:r w:rsidR="007F1042">
        <w:rPr>
          <w:rFonts w:ascii="Times New Roman" w:hAnsi="Times New Roman" w:cs="Times New Roman"/>
          <w:sz w:val="22"/>
          <w:szCs w:val="22"/>
        </w:rPr>
        <w:t>.</w:t>
      </w:r>
      <w:proofErr w:type="spellEnd"/>
      <w:r w:rsidR="00F4047F">
        <w:rPr>
          <w:rFonts w:ascii="Times New Roman" w:hAnsi="Times New Roman" w:cs="Times New Roman"/>
          <w:sz w:val="22"/>
          <w:szCs w:val="22"/>
        </w:rPr>
        <w:t xml:space="preserve"> </w:t>
      </w:r>
    </w:p>
    <w:p w14:paraId="1E4F5E13" w14:textId="54066842" w:rsidR="00FF7C8D" w:rsidRDefault="00FF7C8D" w:rsidP="002E00B5">
      <w:pPr>
        <w:jc w:val="both"/>
        <w:rPr>
          <w:rFonts w:ascii="Times New Roman" w:hAnsi="Times New Roman" w:cs="Times New Roman"/>
          <w:sz w:val="22"/>
          <w:szCs w:val="22"/>
        </w:rPr>
      </w:pPr>
    </w:p>
    <w:p w14:paraId="2083B510" w14:textId="5D43DC91" w:rsidR="00FF7C8D" w:rsidRDefault="00A63577" w:rsidP="00FF7C8D">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B3BD02D" wp14:editId="4A9A38E5">
            <wp:extent cx="5911503" cy="3163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9729" cy="3173599"/>
                    </a:xfrm>
                    <a:prstGeom prst="rect">
                      <a:avLst/>
                    </a:prstGeom>
                    <a:noFill/>
                  </pic:spPr>
                </pic:pic>
              </a:graphicData>
            </a:graphic>
          </wp:inline>
        </w:drawing>
      </w:r>
    </w:p>
    <w:p w14:paraId="69F8B26A" w14:textId="77777777" w:rsidR="00A63577" w:rsidRDefault="00A63577" w:rsidP="00FF7C8D">
      <w:pPr>
        <w:jc w:val="both"/>
        <w:rPr>
          <w:rFonts w:ascii="Times New Roman" w:hAnsi="Times New Roman" w:cs="Times New Roman"/>
          <w:b/>
          <w:bCs/>
          <w:sz w:val="22"/>
          <w:szCs w:val="22"/>
        </w:rPr>
      </w:pPr>
    </w:p>
    <w:p w14:paraId="63E28A90" w14:textId="6F429FC8" w:rsidR="00FF7C8D" w:rsidRPr="00FE7859" w:rsidRDefault="00FF7C8D" w:rsidP="00FF7C8D">
      <w:pPr>
        <w:jc w:val="both"/>
        <w:rPr>
          <w:rFonts w:ascii="Times New Roman" w:hAnsi="Times New Roman" w:cs="Times New Roman"/>
          <w:b/>
          <w:bCs/>
          <w:sz w:val="22"/>
          <w:szCs w:val="22"/>
        </w:rPr>
      </w:pPr>
      <w:r>
        <w:rPr>
          <w:rFonts w:ascii="Times New Roman" w:hAnsi="Times New Roman" w:cs="Times New Roman"/>
          <w:b/>
          <w:bCs/>
          <w:sz w:val="22"/>
          <w:szCs w:val="22"/>
        </w:rPr>
        <w:t xml:space="preserve">Figure 1: </w:t>
      </w:r>
      <w:r w:rsidRPr="00FE7859">
        <w:rPr>
          <w:rFonts w:ascii="Times New Roman" w:hAnsi="Times New Roman" w:cs="Times New Roman"/>
          <w:b/>
          <w:bCs/>
          <w:sz w:val="22"/>
          <w:szCs w:val="22"/>
        </w:rPr>
        <w:t xml:space="preserve">Main study sampling points </w:t>
      </w:r>
      <w:r>
        <w:rPr>
          <w:rFonts w:ascii="Times New Roman" w:hAnsi="Times New Roman" w:cs="Times New Roman"/>
          <w:b/>
          <w:bCs/>
          <w:sz w:val="22"/>
          <w:szCs w:val="22"/>
        </w:rPr>
        <w:t>for humoral testing</w:t>
      </w:r>
      <w:r w:rsidR="00A63577">
        <w:rPr>
          <w:rFonts w:ascii="Times New Roman" w:hAnsi="Times New Roman" w:cs="Times New Roman"/>
          <w:b/>
          <w:bCs/>
          <w:sz w:val="22"/>
          <w:szCs w:val="22"/>
        </w:rPr>
        <w:t xml:space="preserve"> </w:t>
      </w:r>
    </w:p>
    <w:p w14:paraId="49FD0E56" w14:textId="77777777" w:rsidR="00FF7C8D" w:rsidRDefault="00FF7C8D" w:rsidP="002E00B5">
      <w:pPr>
        <w:jc w:val="both"/>
        <w:rPr>
          <w:rFonts w:ascii="Times New Roman" w:hAnsi="Times New Roman" w:cs="Times New Roman"/>
          <w:sz w:val="22"/>
          <w:szCs w:val="22"/>
        </w:rPr>
      </w:pPr>
    </w:p>
    <w:p w14:paraId="12A55F29" w14:textId="77777777" w:rsidR="00FF7C8D" w:rsidRDefault="00FF7C8D" w:rsidP="002E00B5">
      <w:pPr>
        <w:jc w:val="both"/>
        <w:rPr>
          <w:rFonts w:ascii="Times New Roman" w:hAnsi="Times New Roman" w:cs="Times New Roman"/>
          <w:sz w:val="22"/>
          <w:szCs w:val="22"/>
        </w:rPr>
      </w:pPr>
    </w:p>
    <w:p w14:paraId="750BE29D" w14:textId="18C28B10" w:rsidR="00F4047F" w:rsidRDefault="00F4047F" w:rsidP="002E00B5">
      <w:pPr>
        <w:jc w:val="both"/>
        <w:rPr>
          <w:rFonts w:ascii="Times New Roman" w:hAnsi="Times New Roman" w:cs="Times New Roman"/>
          <w:sz w:val="22"/>
          <w:szCs w:val="22"/>
        </w:rPr>
      </w:pPr>
      <w:r>
        <w:rPr>
          <w:rFonts w:ascii="Times New Roman" w:hAnsi="Times New Roman" w:cs="Times New Roman"/>
          <w:sz w:val="22"/>
          <w:szCs w:val="22"/>
        </w:rPr>
        <w:t xml:space="preserve">In the event </w:t>
      </w:r>
      <w:r w:rsidR="00567BE8">
        <w:rPr>
          <w:rFonts w:ascii="Times New Roman" w:hAnsi="Times New Roman" w:cs="Times New Roman"/>
          <w:sz w:val="22"/>
          <w:szCs w:val="22"/>
        </w:rPr>
        <w:t>the patients have received one or both doses of COVID-19 vaccine</w:t>
      </w:r>
      <w:r w:rsidR="00A63577">
        <w:rPr>
          <w:rFonts w:ascii="Times New Roman" w:hAnsi="Times New Roman" w:cs="Times New Roman"/>
          <w:sz w:val="22"/>
          <w:szCs w:val="22"/>
        </w:rPr>
        <w:t xml:space="preserve"> at the time of enrolment</w:t>
      </w:r>
      <w:r w:rsidR="00567BE8">
        <w:rPr>
          <w:rFonts w:ascii="Times New Roman" w:hAnsi="Times New Roman" w:cs="Times New Roman"/>
          <w:sz w:val="22"/>
          <w:szCs w:val="22"/>
        </w:rPr>
        <w:t>, and we do not have the baseline (pre-vaccine) and/or sample after the first dose, we will invite them to the study as long as a sample 2</w:t>
      </w:r>
      <w:r w:rsidR="00FA3AF8">
        <w:rPr>
          <w:rFonts w:ascii="Times New Roman" w:hAnsi="Times New Roman" w:cs="Times New Roman"/>
          <w:sz w:val="22"/>
          <w:szCs w:val="22"/>
        </w:rPr>
        <w:t xml:space="preserve"> </w:t>
      </w:r>
      <w:r w:rsidR="00567BE8">
        <w:rPr>
          <w:rFonts w:ascii="Times New Roman" w:hAnsi="Times New Roman" w:cs="Times New Roman"/>
          <w:sz w:val="22"/>
          <w:szCs w:val="22"/>
        </w:rPr>
        <w:t>(</w:t>
      </w:r>
      <w:r w:rsidR="00FA3AF8">
        <w:rPr>
          <w:rFonts w:ascii="Times New Roman" w:hAnsi="Times New Roman" w:cs="Times New Roman"/>
          <w:sz w:val="22"/>
          <w:szCs w:val="22"/>
        </w:rPr>
        <w:t>up to 6</w:t>
      </w:r>
      <w:r w:rsidR="00567BE8">
        <w:rPr>
          <w:rFonts w:ascii="Times New Roman" w:hAnsi="Times New Roman" w:cs="Times New Roman"/>
          <w:sz w:val="22"/>
          <w:szCs w:val="22"/>
        </w:rPr>
        <w:t xml:space="preserve">) weeks after the second dose can be and captured. </w:t>
      </w:r>
    </w:p>
    <w:p w14:paraId="2B2AE043" w14:textId="77777777" w:rsidR="00567BE8" w:rsidRDefault="00567BE8" w:rsidP="002E00B5">
      <w:pPr>
        <w:jc w:val="both"/>
        <w:rPr>
          <w:rFonts w:ascii="Times New Roman" w:hAnsi="Times New Roman" w:cs="Times New Roman"/>
          <w:sz w:val="22"/>
          <w:szCs w:val="22"/>
        </w:rPr>
      </w:pPr>
    </w:p>
    <w:p w14:paraId="163F1898" w14:textId="639793F2" w:rsidR="004308A3" w:rsidRDefault="001A474E" w:rsidP="002E00B5">
      <w:pPr>
        <w:jc w:val="both"/>
        <w:rPr>
          <w:rFonts w:ascii="Times New Roman" w:hAnsi="Times New Roman" w:cs="Times New Roman"/>
          <w:sz w:val="22"/>
          <w:szCs w:val="22"/>
        </w:rPr>
      </w:pPr>
      <w:r>
        <w:rPr>
          <w:rFonts w:ascii="Times New Roman" w:hAnsi="Times New Roman" w:cs="Times New Roman"/>
          <w:sz w:val="22"/>
          <w:szCs w:val="22"/>
        </w:rPr>
        <w:lastRenderedPageBreak/>
        <w:t xml:space="preserve">At the study time points </w:t>
      </w:r>
      <w:r w:rsidRPr="00FA72CB">
        <w:rPr>
          <w:rFonts w:ascii="Times New Roman" w:hAnsi="Times New Roman" w:cs="Times New Roman"/>
          <w:sz w:val="22"/>
          <w:szCs w:val="22"/>
        </w:rPr>
        <w:t>3(±1)</w:t>
      </w:r>
      <w:r>
        <w:rPr>
          <w:rFonts w:ascii="Times New Roman" w:hAnsi="Times New Roman" w:cs="Times New Roman"/>
          <w:sz w:val="22"/>
          <w:szCs w:val="22"/>
        </w:rPr>
        <w:t xml:space="preserve"> months, </w:t>
      </w:r>
      <w:r w:rsidRPr="00FA72CB">
        <w:rPr>
          <w:rFonts w:ascii="Times New Roman" w:hAnsi="Times New Roman" w:cs="Times New Roman"/>
          <w:sz w:val="22"/>
          <w:szCs w:val="22"/>
        </w:rPr>
        <w:t>6(±</w:t>
      </w:r>
      <w:r>
        <w:rPr>
          <w:rFonts w:ascii="Times New Roman" w:hAnsi="Times New Roman" w:cs="Times New Roman"/>
          <w:sz w:val="22"/>
          <w:szCs w:val="22"/>
        </w:rPr>
        <w:t>1</w:t>
      </w:r>
      <w:r w:rsidRPr="00FA72CB">
        <w:rPr>
          <w:rFonts w:ascii="Times New Roman" w:hAnsi="Times New Roman" w:cs="Times New Roman"/>
          <w:sz w:val="22"/>
          <w:szCs w:val="22"/>
        </w:rPr>
        <w:t>)</w:t>
      </w:r>
      <w:r>
        <w:rPr>
          <w:rFonts w:ascii="Times New Roman" w:hAnsi="Times New Roman" w:cs="Times New Roman"/>
          <w:sz w:val="22"/>
          <w:szCs w:val="22"/>
        </w:rPr>
        <w:t>,</w:t>
      </w:r>
      <w:r w:rsidRPr="00FA72CB">
        <w:rPr>
          <w:rFonts w:ascii="Times New Roman" w:hAnsi="Times New Roman" w:cs="Times New Roman"/>
          <w:sz w:val="22"/>
          <w:szCs w:val="22"/>
        </w:rPr>
        <w:t xml:space="preserve"> and</w:t>
      </w:r>
      <w:r>
        <w:rPr>
          <w:rFonts w:ascii="Times New Roman" w:hAnsi="Times New Roman" w:cs="Times New Roman"/>
          <w:sz w:val="22"/>
          <w:szCs w:val="22"/>
        </w:rPr>
        <w:t>/or</w:t>
      </w:r>
      <w:r w:rsidRPr="00FA72CB">
        <w:rPr>
          <w:rFonts w:ascii="Times New Roman" w:hAnsi="Times New Roman" w:cs="Times New Roman"/>
          <w:sz w:val="22"/>
          <w:szCs w:val="22"/>
        </w:rPr>
        <w:t xml:space="preserve"> 12(±</w:t>
      </w:r>
      <w:r>
        <w:rPr>
          <w:rFonts w:ascii="Times New Roman" w:hAnsi="Times New Roman" w:cs="Times New Roman"/>
          <w:sz w:val="22"/>
          <w:szCs w:val="22"/>
        </w:rPr>
        <w:t>1</w:t>
      </w:r>
      <w:r w:rsidRPr="00FA72CB">
        <w:rPr>
          <w:rFonts w:ascii="Times New Roman" w:hAnsi="Times New Roman" w:cs="Times New Roman"/>
          <w:sz w:val="22"/>
          <w:szCs w:val="22"/>
        </w:rPr>
        <w:t xml:space="preserve">) months </w:t>
      </w:r>
      <w:r>
        <w:rPr>
          <w:rFonts w:ascii="Times New Roman" w:hAnsi="Times New Roman" w:cs="Times New Roman"/>
          <w:sz w:val="22"/>
          <w:szCs w:val="22"/>
        </w:rPr>
        <w:t>from</w:t>
      </w:r>
      <w:r w:rsidRPr="00FA72CB">
        <w:rPr>
          <w:rFonts w:ascii="Times New Roman" w:hAnsi="Times New Roman" w:cs="Times New Roman"/>
          <w:sz w:val="22"/>
          <w:szCs w:val="22"/>
        </w:rPr>
        <w:t xml:space="preserve"> the </w:t>
      </w:r>
      <w:r>
        <w:rPr>
          <w:rFonts w:ascii="Times New Roman" w:hAnsi="Times New Roman" w:cs="Times New Roman"/>
          <w:sz w:val="22"/>
          <w:szCs w:val="22"/>
        </w:rPr>
        <w:t>second dose of</w:t>
      </w:r>
      <w:r w:rsidRPr="00FA72CB">
        <w:rPr>
          <w:rFonts w:ascii="Times New Roman" w:hAnsi="Times New Roman" w:cs="Times New Roman"/>
          <w:sz w:val="22"/>
          <w:szCs w:val="22"/>
        </w:rPr>
        <w:t xml:space="preserve"> vaccine</w:t>
      </w:r>
      <w:r>
        <w:rPr>
          <w:rFonts w:ascii="Times New Roman" w:hAnsi="Times New Roman" w:cs="Times New Roman"/>
          <w:sz w:val="22"/>
          <w:szCs w:val="22"/>
        </w:rPr>
        <w:t xml:space="preserve">, </w:t>
      </w:r>
      <w:r w:rsidR="00572691">
        <w:rPr>
          <w:rFonts w:ascii="Times New Roman" w:hAnsi="Times New Roman" w:cs="Times New Roman"/>
          <w:sz w:val="22"/>
          <w:szCs w:val="22"/>
        </w:rPr>
        <w:t xml:space="preserve">the </w:t>
      </w:r>
      <w:r>
        <w:rPr>
          <w:rFonts w:ascii="Times New Roman" w:hAnsi="Times New Roman" w:cs="Times New Roman"/>
          <w:sz w:val="22"/>
          <w:szCs w:val="22"/>
        </w:rPr>
        <w:t xml:space="preserve">participants </w:t>
      </w:r>
      <w:r w:rsidR="00572691">
        <w:rPr>
          <w:rFonts w:ascii="Times New Roman" w:hAnsi="Times New Roman" w:cs="Times New Roman"/>
          <w:sz w:val="22"/>
          <w:szCs w:val="22"/>
        </w:rPr>
        <w:t xml:space="preserve">will be asked to complete a questionnaire on whether they have contracted COVID-19 </w:t>
      </w:r>
      <w:r w:rsidR="00D260AF">
        <w:rPr>
          <w:rFonts w:ascii="Times New Roman" w:hAnsi="Times New Roman" w:cs="Times New Roman"/>
          <w:sz w:val="22"/>
          <w:szCs w:val="22"/>
        </w:rPr>
        <w:t xml:space="preserve">and if they have </w:t>
      </w:r>
      <w:r w:rsidR="00572691">
        <w:rPr>
          <w:rFonts w:ascii="Times New Roman" w:hAnsi="Times New Roman" w:cs="Times New Roman"/>
          <w:sz w:val="22"/>
          <w:szCs w:val="22"/>
        </w:rPr>
        <w:t>been in contact with</w:t>
      </w:r>
      <w:r w:rsidR="00777902">
        <w:rPr>
          <w:rFonts w:ascii="Times New Roman" w:hAnsi="Times New Roman" w:cs="Times New Roman"/>
          <w:sz w:val="22"/>
          <w:szCs w:val="22"/>
        </w:rPr>
        <w:t xml:space="preserve"> a</w:t>
      </w:r>
      <w:r w:rsidR="00572691">
        <w:rPr>
          <w:rFonts w:ascii="Times New Roman" w:hAnsi="Times New Roman" w:cs="Times New Roman"/>
          <w:sz w:val="22"/>
          <w:szCs w:val="22"/>
        </w:rPr>
        <w:t xml:space="preserve"> </w:t>
      </w:r>
      <w:r w:rsidR="006C42FB">
        <w:rPr>
          <w:rFonts w:ascii="Times New Roman" w:hAnsi="Times New Roman" w:cs="Times New Roman"/>
          <w:sz w:val="22"/>
          <w:szCs w:val="22"/>
        </w:rPr>
        <w:t>COVID-19 positive person</w:t>
      </w:r>
      <w:r w:rsidR="00572691">
        <w:rPr>
          <w:rFonts w:ascii="Times New Roman" w:hAnsi="Times New Roman" w:cs="Times New Roman"/>
          <w:sz w:val="22"/>
          <w:szCs w:val="22"/>
        </w:rPr>
        <w:t>.</w:t>
      </w:r>
      <w:r w:rsidR="00DD0D68">
        <w:rPr>
          <w:rFonts w:ascii="Times New Roman" w:hAnsi="Times New Roman" w:cs="Times New Roman"/>
          <w:sz w:val="22"/>
          <w:szCs w:val="22"/>
        </w:rPr>
        <w:t xml:space="preserve"> </w:t>
      </w:r>
    </w:p>
    <w:p w14:paraId="337379C8" w14:textId="77777777" w:rsidR="004308A3" w:rsidRDefault="004308A3" w:rsidP="002E00B5">
      <w:pPr>
        <w:jc w:val="both"/>
        <w:rPr>
          <w:rFonts w:ascii="Times New Roman" w:hAnsi="Times New Roman" w:cs="Times New Roman"/>
          <w:sz w:val="22"/>
          <w:szCs w:val="22"/>
        </w:rPr>
      </w:pPr>
    </w:p>
    <w:p w14:paraId="1586958B" w14:textId="7EB1B6C9" w:rsidR="00DD0D68" w:rsidRDefault="00C638BD" w:rsidP="002E00B5">
      <w:pPr>
        <w:jc w:val="both"/>
        <w:rPr>
          <w:rFonts w:ascii="Times New Roman" w:hAnsi="Times New Roman" w:cs="Times New Roman"/>
          <w:sz w:val="22"/>
          <w:szCs w:val="22"/>
        </w:rPr>
      </w:pPr>
      <w:r>
        <w:rPr>
          <w:rFonts w:ascii="Times New Roman" w:hAnsi="Times New Roman" w:cs="Times New Roman"/>
          <w:sz w:val="22"/>
          <w:szCs w:val="22"/>
        </w:rPr>
        <w:t xml:space="preserve">For the sub study, we will invite </w:t>
      </w:r>
      <w:r w:rsidR="00DD0D68">
        <w:rPr>
          <w:rFonts w:ascii="Times New Roman" w:hAnsi="Times New Roman" w:cs="Times New Roman"/>
          <w:sz w:val="22"/>
          <w:szCs w:val="22"/>
        </w:rPr>
        <w:t xml:space="preserve">patients </w:t>
      </w:r>
      <w:r>
        <w:rPr>
          <w:rFonts w:ascii="Times New Roman" w:hAnsi="Times New Roman" w:cs="Times New Roman"/>
          <w:sz w:val="22"/>
          <w:szCs w:val="22"/>
        </w:rPr>
        <w:t>who</w:t>
      </w:r>
      <w:r w:rsidR="00DD0D68">
        <w:rPr>
          <w:rFonts w:ascii="Times New Roman" w:hAnsi="Times New Roman" w:cs="Times New Roman"/>
          <w:sz w:val="22"/>
          <w:szCs w:val="22"/>
        </w:rPr>
        <w:t xml:space="preserve"> have received rituximab within the past 6 months</w:t>
      </w:r>
      <w:r>
        <w:rPr>
          <w:rFonts w:ascii="Times New Roman" w:hAnsi="Times New Roman" w:cs="Times New Roman"/>
          <w:sz w:val="22"/>
          <w:szCs w:val="22"/>
        </w:rPr>
        <w:t xml:space="preserve"> to participate. W</w:t>
      </w:r>
      <w:r w:rsidR="00D42602">
        <w:rPr>
          <w:rFonts w:ascii="Times New Roman" w:hAnsi="Times New Roman" w:cs="Times New Roman"/>
          <w:sz w:val="22"/>
          <w:szCs w:val="22"/>
        </w:rPr>
        <w:t xml:space="preserve">e will recruit 20 patients where </w:t>
      </w:r>
      <w:r w:rsidR="00DD0D68">
        <w:rPr>
          <w:rFonts w:ascii="Times New Roman" w:hAnsi="Times New Roman" w:cs="Times New Roman"/>
          <w:sz w:val="22"/>
          <w:szCs w:val="22"/>
        </w:rPr>
        <w:t xml:space="preserve">we will </w:t>
      </w:r>
      <w:r w:rsidR="00EC268A">
        <w:rPr>
          <w:rFonts w:ascii="Times New Roman" w:hAnsi="Times New Roman" w:cs="Times New Roman"/>
          <w:sz w:val="22"/>
          <w:szCs w:val="22"/>
        </w:rPr>
        <w:t>draw 10-15 mL of anticoagulated whole blood to isolate PBMCs</w:t>
      </w:r>
      <w:r w:rsidR="00BF29A7">
        <w:rPr>
          <w:rFonts w:ascii="Times New Roman" w:hAnsi="Times New Roman" w:cs="Times New Roman"/>
          <w:sz w:val="22"/>
          <w:szCs w:val="22"/>
        </w:rPr>
        <w:t xml:space="preserve"> (</w:t>
      </w:r>
      <w:r w:rsidR="00D82D0A">
        <w:rPr>
          <w:rFonts w:ascii="Times New Roman" w:hAnsi="Times New Roman" w:cs="Times New Roman"/>
          <w:sz w:val="22"/>
          <w:szCs w:val="22"/>
          <w:lang w:val="en-CA"/>
        </w:rPr>
        <w:t>p</w:t>
      </w:r>
      <w:r w:rsidR="00BF29A7" w:rsidRPr="00EF4597">
        <w:rPr>
          <w:rFonts w:ascii="Times New Roman" w:hAnsi="Times New Roman" w:cs="Times New Roman"/>
          <w:sz w:val="22"/>
          <w:szCs w:val="22"/>
          <w:lang w:val="en-CA"/>
        </w:rPr>
        <w:t>eripheral blood mononuclear cells</w:t>
      </w:r>
      <w:r w:rsidR="00BF29A7">
        <w:rPr>
          <w:rFonts w:ascii="Times New Roman" w:hAnsi="Times New Roman" w:cs="Times New Roman"/>
          <w:sz w:val="22"/>
          <w:szCs w:val="22"/>
          <w:lang w:val="en-CA"/>
        </w:rPr>
        <w:t>)</w:t>
      </w:r>
      <w:r w:rsidR="009E399C">
        <w:rPr>
          <w:rFonts w:ascii="Times New Roman" w:hAnsi="Times New Roman" w:cs="Times New Roman"/>
          <w:sz w:val="22"/>
          <w:szCs w:val="22"/>
        </w:rPr>
        <w:t xml:space="preserve"> at the following time points: before the COVID-19 vaccine, </w:t>
      </w:r>
      <w:r w:rsidR="00567BE8">
        <w:rPr>
          <w:rFonts w:ascii="Times New Roman" w:hAnsi="Times New Roman" w:cs="Times New Roman"/>
          <w:sz w:val="22"/>
          <w:szCs w:val="22"/>
        </w:rPr>
        <w:t>2</w:t>
      </w:r>
      <w:r w:rsidR="009E399C" w:rsidRPr="009E399C">
        <w:rPr>
          <w:rFonts w:ascii="Times New Roman" w:hAnsi="Times New Roman" w:cs="Times New Roman"/>
          <w:sz w:val="22"/>
          <w:szCs w:val="22"/>
        </w:rPr>
        <w:t xml:space="preserve"> </w:t>
      </w:r>
      <w:r w:rsidR="009E399C">
        <w:rPr>
          <w:rFonts w:ascii="Times New Roman" w:hAnsi="Times New Roman" w:cs="Times New Roman"/>
          <w:sz w:val="22"/>
          <w:szCs w:val="22"/>
        </w:rPr>
        <w:t xml:space="preserve">weeks </w:t>
      </w:r>
      <w:r w:rsidR="00EB6C2A">
        <w:rPr>
          <w:rFonts w:ascii="Times New Roman" w:hAnsi="Times New Roman" w:cs="Times New Roman"/>
          <w:sz w:val="22"/>
          <w:szCs w:val="22"/>
        </w:rPr>
        <w:t xml:space="preserve">(up to 6 weeks but before </w:t>
      </w:r>
      <w:r w:rsidR="004308A3">
        <w:rPr>
          <w:rFonts w:ascii="Times New Roman" w:hAnsi="Times New Roman" w:cs="Times New Roman"/>
          <w:sz w:val="22"/>
          <w:szCs w:val="22"/>
        </w:rPr>
        <w:t xml:space="preserve">the </w:t>
      </w:r>
      <w:r w:rsidR="00EB6C2A">
        <w:rPr>
          <w:rFonts w:ascii="Times New Roman" w:hAnsi="Times New Roman" w:cs="Times New Roman"/>
          <w:sz w:val="22"/>
          <w:szCs w:val="22"/>
        </w:rPr>
        <w:t xml:space="preserve">second dose) </w:t>
      </w:r>
      <w:r w:rsidR="004308A3">
        <w:rPr>
          <w:rFonts w:ascii="Times New Roman" w:hAnsi="Times New Roman" w:cs="Times New Roman"/>
          <w:sz w:val="22"/>
          <w:szCs w:val="22"/>
        </w:rPr>
        <w:t xml:space="preserve">after first dose, 2 weeks (up to 6 weeks) after the second dose, and 6 months </w:t>
      </w:r>
      <w:r w:rsidR="009E399C">
        <w:rPr>
          <w:rFonts w:ascii="Times New Roman" w:hAnsi="Times New Roman" w:cs="Times New Roman"/>
          <w:sz w:val="22"/>
          <w:szCs w:val="22"/>
        </w:rPr>
        <w:t xml:space="preserve">after </w:t>
      </w:r>
      <w:r w:rsidR="004308A3">
        <w:rPr>
          <w:rFonts w:ascii="Times New Roman" w:hAnsi="Times New Roman" w:cs="Times New Roman"/>
          <w:sz w:val="22"/>
          <w:szCs w:val="22"/>
        </w:rPr>
        <w:t>the second dose</w:t>
      </w:r>
      <w:r w:rsidR="009E399C">
        <w:rPr>
          <w:rFonts w:ascii="Times New Roman" w:hAnsi="Times New Roman" w:cs="Times New Roman"/>
          <w:sz w:val="22"/>
          <w:szCs w:val="22"/>
        </w:rPr>
        <w:t xml:space="preserve">. </w:t>
      </w:r>
      <w:r w:rsidR="00904E2E">
        <w:rPr>
          <w:rFonts w:ascii="Times New Roman" w:hAnsi="Times New Roman" w:cs="Times New Roman"/>
          <w:sz w:val="22"/>
          <w:szCs w:val="22"/>
        </w:rPr>
        <w:t>W</w:t>
      </w:r>
      <w:r w:rsidR="009E399C">
        <w:rPr>
          <w:rFonts w:ascii="Times New Roman" w:hAnsi="Times New Roman" w:cs="Times New Roman"/>
          <w:sz w:val="22"/>
          <w:szCs w:val="22"/>
        </w:rPr>
        <w:t>e will also enroll 10 patients receiving similar types of chemotherapy but not on rituximab as a control group</w:t>
      </w:r>
      <w:r>
        <w:rPr>
          <w:rFonts w:ascii="Times New Roman" w:hAnsi="Times New Roman" w:cs="Times New Roman"/>
          <w:sz w:val="22"/>
          <w:szCs w:val="22"/>
        </w:rPr>
        <w:t xml:space="preserve"> for the sub study</w:t>
      </w:r>
      <w:r w:rsidR="009E399C">
        <w:rPr>
          <w:rFonts w:ascii="Times New Roman" w:hAnsi="Times New Roman" w:cs="Times New Roman"/>
          <w:sz w:val="22"/>
          <w:szCs w:val="22"/>
        </w:rPr>
        <w:t xml:space="preserve">. </w:t>
      </w:r>
      <w:r w:rsidR="00405AEC">
        <w:rPr>
          <w:rFonts w:ascii="Times New Roman" w:hAnsi="Times New Roman" w:cs="Times New Roman"/>
          <w:sz w:val="22"/>
          <w:szCs w:val="22"/>
        </w:rPr>
        <w:t xml:space="preserve">We will also draw 10-15 mL of anticoagulated whole blood from the 10 control patients. </w:t>
      </w:r>
    </w:p>
    <w:p w14:paraId="03AE113E" w14:textId="77777777" w:rsidR="00567BE8" w:rsidRDefault="00567BE8" w:rsidP="002E00B5">
      <w:pPr>
        <w:jc w:val="both"/>
        <w:rPr>
          <w:rFonts w:ascii="Times New Roman" w:hAnsi="Times New Roman" w:cs="Times New Roman"/>
          <w:sz w:val="22"/>
          <w:szCs w:val="22"/>
        </w:rPr>
      </w:pPr>
    </w:p>
    <w:p w14:paraId="66187D46" w14:textId="77777777" w:rsidR="00904E2E" w:rsidRDefault="00904E2E" w:rsidP="002E00B5">
      <w:pPr>
        <w:jc w:val="both"/>
        <w:rPr>
          <w:rFonts w:ascii="Times New Roman" w:hAnsi="Times New Roman" w:cs="Times New Roman"/>
          <w:sz w:val="22"/>
          <w:szCs w:val="22"/>
        </w:rPr>
      </w:pPr>
    </w:p>
    <w:p w14:paraId="2863E573" w14:textId="3F3AF149" w:rsidR="00106B04" w:rsidRDefault="00117A4A" w:rsidP="00106B04">
      <w:pPr>
        <w:rPr>
          <w:rFonts w:ascii="Times New Roman" w:hAnsi="Times New Roman" w:cs="Times New Roman"/>
          <w:b/>
          <w:bCs/>
          <w:sz w:val="22"/>
          <w:szCs w:val="22"/>
          <w:lang w:val="en-CA"/>
        </w:rPr>
      </w:pPr>
      <w:r>
        <w:rPr>
          <w:rFonts w:ascii="Times New Roman" w:hAnsi="Times New Roman" w:cs="Times New Roman"/>
          <w:b/>
          <w:bCs/>
          <w:noProof/>
          <w:sz w:val="22"/>
          <w:szCs w:val="22"/>
          <w:lang w:val="en-CA"/>
        </w:rPr>
        <w:drawing>
          <wp:inline distT="0" distB="0" distL="0" distR="0" wp14:anchorId="077DA94A" wp14:editId="0C51300F">
            <wp:extent cx="5537068" cy="1933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626" cy="1937488"/>
                    </a:xfrm>
                    <a:prstGeom prst="rect">
                      <a:avLst/>
                    </a:prstGeom>
                    <a:noFill/>
                  </pic:spPr>
                </pic:pic>
              </a:graphicData>
            </a:graphic>
          </wp:inline>
        </w:drawing>
      </w:r>
    </w:p>
    <w:p w14:paraId="460D9A90" w14:textId="58B6041E" w:rsidR="00FF7C8D" w:rsidRPr="00FE7859" w:rsidRDefault="00FF7C8D" w:rsidP="00FF7C8D">
      <w:pPr>
        <w:jc w:val="both"/>
        <w:rPr>
          <w:rFonts w:ascii="Times New Roman" w:hAnsi="Times New Roman" w:cs="Times New Roman"/>
          <w:b/>
          <w:bCs/>
          <w:sz w:val="22"/>
          <w:szCs w:val="22"/>
        </w:rPr>
      </w:pPr>
      <w:r>
        <w:rPr>
          <w:rFonts w:ascii="Times New Roman" w:hAnsi="Times New Roman" w:cs="Times New Roman"/>
          <w:b/>
          <w:bCs/>
          <w:sz w:val="22"/>
          <w:szCs w:val="22"/>
          <w:lang w:val="en-CA"/>
        </w:rPr>
        <w:t xml:space="preserve">Figure 2: </w:t>
      </w:r>
      <w:r>
        <w:rPr>
          <w:rFonts w:ascii="Times New Roman" w:hAnsi="Times New Roman" w:cs="Times New Roman"/>
          <w:b/>
          <w:bCs/>
          <w:sz w:val="22"/>
          <w:szCs w:val="22"/>
        </w:rPr>
        <w:t xml:space="preserve">Sub </w:t>
      </w:r>
      <w:r w:rsidRPr="00FE7859">
        <w:rPr>
          <w:rFonts w:ascii="Times New Roman" w:hAnsi="Times New Roman" w:cs="Times New Roman"/>
          <w:b/>
          <w:bCs/>
          <w:sz w:val="22"/>
          <w:szCs w:val="22"/>
        </w:rPr>
        <w:t xml:space="preserve">study sampling points </w:t>
      </w:r>
      <w:r>
        <w:rPr>
          <w:rFonts w:ascii="Times New Roman" w:hAnsi="Times New Roman" w:cs="Times New Roman"/>
          <w:b/>
          <w:bCs/>
          <w:sz w:val="22"/>
          <w:szCs w:val="22"/>
        </w:rPr>
        <w:t>for T-cell testing</w:t>
      </w:r>
    </w:p>
    <w:p w14:paraId="6181F3C1" w14:textId="12EF5810" w:rsidR="00FF7C8D" w:rsidRPr="00FF7C8D" w:rsidRDefault="00FF7C8D" w:rsidP="00106B04">
      <w:pPr>
        <w:rPr>
          <w:rFonts w:ascii="Times New Roman" w:hAnsi="Times New Roman" w:cs="Times New Roman"/>
          <w:b/>
          <w:bCs/>
          <w:sz w:val="22"/>
          <w:szCs w:val="22"/>
        </w:rPr>
      </w:pPr>
    </w:p>
    <w:p w14:paraId="7AF92811" w14:textId="62108D04" w:rsidR="00FF7C8D" w:rsidRDefault="00FF7C8D" w:rsidP="00106B04">
      <w:pPr>
        <w:rPr>
          <w:rFonts w:ascii="Times New Roman" w:hAnsi="Times New Roman" w:cs="Times New Roman"/>
          <w:b/>
          <w:bCs/>
          <w:sz w:val="22"/>
          <w:szCs w:val="22"/>
          <w:lang w:val="en-CA"/>
        </w:rPr>
      </w:pPr>
    </w:p>
    <w:p w14:paraId="2FFEB330" w14:textId="77777777" w:rsidR="00BE0FBB" w:rsidRPr="00CD384F" w:rsidRDefault="00BE0FBB" w:rsidP="00106B04">
      <w:pPr>
        <w:rPr>
          <w:rFonts w:ascii="Times New Roman" w:hAnsi="Times New Roman" w:cs="Times New Roman"/>
          <w:b/>
          <w:bCs/>
          <w:sz w:val="22"/>
          <w:szCs w:val="22"/>
          <w:lang w:val="en-CA"/>
        </w:rPr>
      </w:pPr>
    </w:p>
    <w:p w14:paraId="56F942C1" w14:textId="35ECD248" w:rsidR="00E95925" w:rsidRDefault="00E95925" w:rsidP="00F86B88">
      <w:pPr>
        <w:pStyle w:val="Heading2"/>
        <w:rPr>
          <w:lang w:val="en-CA"/>
        </w:rPr>
      </w:pPr>
      <w:r>
        <w:rPr>
          <w:lang w:val="en-CA"/>
        </w:rPr>
        <w:t>Study Event Flowchart</w:t>
      </w:r>
    </w:p>
    <w:tbl>
      <w:tblPr>
        <w:tblStyle w:val="TableGrid"/>
        <w:tblW w:w="0" w:type="auto"/>
        <w:tblLayout w:type="fixed"/>
        <w:tblLook w:val="04A0" w:firstRow="1" w:lastRow="0" w:firstColumn="1" w:lastColumn="0" w:noHBand="0" w:noVBand="1"/>
      </w:tblPr>
      <w:tblGrid>
        <w:gridCol w:w="1457"/>
        <w:gridCol w:w="1127"/>
        <w:gridCol w:w="1128"/>
        <w:gridCol w:w="1127"/>
        <w:gridCol w:w="1128"/>
        <w:gridCol w:w="1127"/>
        <w:gridCol w:w="1128"/>
        <w:gridCol w:w="1128"/>
      </w:tblGrid>
      <w:tr w:rsidR="005069EA" w:rsidRPr="00787BFC" w14:paraId="2E9A6202" w14:textId="77777777" w:rsidTr="00D82D0A">
        <w:tc>
          <w:tcPr>
            <w:tcW w:w="1457" w:type="dxa"/>
            <w:vAlign w:val="center"/>
          </w:tcPr>
          <w:p w14:paraId="2D79C8B6" w14:textId="60906F7A" w:rsidR="005069EA" w:rsidRPr="00787BFC" w:rsidRDefault="005069EA" w:rsidP="00167C41">
            <w:pPr>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Time Points</w:t>
            </w:r>
          </w:p>
        </w:tc>
        <w:tc>
          <w:tcPr>
            <w:tcW w:w="1127" w:type="dxa"/>
            <w:vAlign w:val="center"/>
          </w:tcPr>
          <w:p w14:paraId="3415AA49" w14:textId="77777777" w:rsidR="005069EA" w:rsidRPr="00787BFC" w:rsidRDefault="005069EA" w:rsidP="00167C41">
            <w:pPr>
              <w:jc w:val="center"/>
              <w:rPr>
                <w:rFonts w:ascii="Times New Roman" w:hAnsi="Times New Roman" w:cs="Times New Roman"/>
                <w:b/>
                <w:bCs/>
                <w:sz w:val="22"/>
                <w:szCs w:val="22"/>
                <w:lang w:val="en-US"/>
              </w:rPr>
            </w:pPr>
            <w:r w:rsidRPr="00787BFC">
              <w:rPr>
                <w:rFonts w:ascii="Times New Roman" w:hAnsi="Times New Roman" w:cs="Times New Roman"/>
                <w:b/>
                <w:bCs/>
                <w:sz w:val="22"/>
                <w:szCs w:val="22"/>
                <w:lang w:val="en-US"/>
              </w:rPr>
              <w:t>1</w:t>
            </w:r>
          </w:p>
        </w:tc>
        <w:tc>
          <w:tcPr>
            <w:tcW w:w="1128" w:type="dxa"/>
            <w:vAlign w:val="center"/>
          </w:tcPr>
          <w:p w14:paraId="3E3286E4" w14:textId="77777777" w:rsidR="005069EA" w:rsidRPr="00787BFC" w:rsidRDefault="005069EA" w:rsidP="00167C41">
            <w:pPr>
              <w:jc w:val="center"/>
              <w:rPr>
                <w:rFonts w:ascii="Times New Roman" w:hAnsi="Times New Roman" w:cs="Times New Roman"/>
                <w:b/>
                <w:bCs/>
                <w:sz w:val="22"/>
                <w:szCs w:val="22"/>
                <w:lang w:val="en-US"/>
              </w:rPr>
            </w:pPr>
            <w:r w:rsidRPr="00787BFC">
              <w:rPr>
                <w:rFonts w:ascii="Times New Roman" w:hAnsi="Times New Roman" w:cs="Times New Roman"/>
                <w:b/>
                <w:bCs/>
                <w:sz w:val="22"/>
                <w:szCs w:val="22"/>
                <w:lang w:val="en-US"/>
              </w:rPr>
              <w:t>2</w:t>
            </w:r>
          </w:p>
        </w:tc>
        <w:tc>
          <w:tcPr>
            <w:tcW w:w="1127" w:type="dxa"/>
          </w:tcPr>
          <w:p w14:paraId="336DA089" w14:textId="34A0EF88" w:rsidR="005069EA" w:rsidRPr="00787BFC" w:rsidRDefault="005069EA" w:rsidP="00167C41">
            <w:pPr>
              <w:jc w:val="center"/>
              <w:rPr>
                <w:rFonts w:ascii="Times New Roman" w:hAnsi="Times New Roman" w:cs="Times New Roman"/>
                <w:b/>
                <w:bCs/>
                <w:sz w:val="22"/>
                <w:szCs w:val="22"/>
                <w:lang w:val="en-US"/>
              </w:rPr>
            </w:pPr>
            <w:r w:rsidRPr="00787BFC">
              <w:rPr>
                <w:rFonts w:ascii="Times New Roman" w:hAnsi="Times New Roman" w:cs="Times New Roman"/>
                <w:b/>
                <w:bCs/>
                <w:sz w:val="22"/>
                <w:szCs w:val="22"/>
                <w:lang w:val="en-US"/>
              </w:rPr>
              <w:t>3</w:t>
            </w:r>
          </w:p>
        </w:tc>
        <w:tc>
          <w:tcPr>
            <w:tcW w:w="1128" w:type="dxa"/>
            <w:vAlign w:val="center"/>
          </w:tcPr>
          <w:p w14:paraId="0FB47B18" w14:textId="77777777" w:rsidR="005069EA" w:rsidRPr="00787BFC" w:rsidRDefault="005069EA" w:rsidP="00167C41">
            <w:pPr>
              <w:jc w:val="center"/>
              <w:rPr>
                <w:rFonts w:ascii="Times New Roman" w:hAnsi="Times New Roman" w:cs="Times New Roman"/>
                <w:b/>
                <w:bCs/>
                <w:sz w:val="22"/>
                <w:szCs w:val="22"/>
                <w:lang w:val="en-US"/>
              </w:rPr>
            </w:pPr>
            <w:r w:rsidRPr="00787BFC">
              <w:rPr>
                <w:rFonts w:ascii="Times New Roman" w:hAnsi="Times New Roman" w:cs="Times New Roman"/>
                <w:b/>
                <w:bCs/>
                <w:sz w:val="22"/>
                <w:szCs w:val="22"/>
                <w:lang w:val="en-US"/>
              </w:rPr>
              <w:t>4</w:t>
            </w:r>
          </w:p>
        </w:tc>
        <w:tc>
          <w:tcPr>
            <w:tcW w:w="1127" w:type="dxa"/>
          </w:tcPr>
          <w:p w14:paraId="2F912B88" w14:textId="71CCEB86" w:rsidR="005069EA" w:rsidRPr="00787BFC" w:rsidRDefault="00940656" w:rsidP="00167C41">
            <w:pPr>
              <w:jc w:val="center"/>
              <w:rPr>
                <w:rFonts w:ascii="Times New Roman" w:hAnsi="Times New Roman" w:cs="Times New Roman"/>
                <w:b/>
                <w:bCs/>
                <w:sz w:val="22"/>
                <w:szCs w:val="22"/>
              </w:rPr>
            </w:pPr>
            <w:r>
              <w:rPr>
                <w:rFonts w:ascii="Times New Roman" w:hAnsi="Times New Roman" w:cs="Times New Roman"/>
                <w:b/>
                <w:bCs/>
                <w:sz w:val="22"/>
                <w:szCs w:val="22"/>
              </w:rPr>
              <w:t>5</w:t>
            </w:r>
          </w:p>
        </w:tc>
        <w:tc>
          <w:tcPr>
            <w:tcW w:w="1128" w:type="dxa"/>
            <w:vAlign w:val="center"/>
          </w:tcPr>
          <w:p w14:paraId="19E2FA99" w14:textId="5FECF892" w:rsidR="005069EA" w:rsidRPr="006C42FB" w:rsidRDefault="005069EA" w:rsidP="00167C41">
            <w:pPr>
              <w:jc w:val="center"/>
              <w:rPr>
                <w:rFonts w:ascii="Times New Roman" w:hAnsi="Times New Roman" w:cs="Times New Roman"/>
                <w:b/>
                <w:bCs/>
                <w:sz w:val="22"/>
                <w:szCs w:val="22"/>
                <w:vertAlign w:val="subscript"/>
                <w:lang w:val="en-US"/>
              </w:rPr>
            </w:pPr>
            <w:r>
              <w:rPr>
                <w:rFonts w:ascii="Times New Roman" w:hAnsi="Times New Roman" w:cs="Times New Roman"/>
                <w:b/>
                <w:bCs/>
                <w:sz w:val="22"/>
                <w:szCs w:val="22"/>
                <w:lang w:val="en-US"/>
              </w:rPr>
              <w:t>6</w:t>
            </w:r>
          </w:p>
        </w:tc>
        <w:tc>
          <w:tcPr>
            <w:tcW w:w="1128" w:type="dxa"/>
            <w:vAlign w:val="center"/>
          </w:tcPr>
          <w:p w14:paraId="33B47FDF" w14:textId="6F62DBCC" w:rsidR="005069EA" w:rsidRPr="00787BFC" w:rsidRDefault="005069EA" w:rsidP="00167C41">
            <w:pPr>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7</w:t>
            </w:r>
          </w:p>
        </w:tc>
      </w:tr>
      <w:tr w:rsidR="005069EA" w:rsidRPr="00787BFC" w14:paraId="0F26ED32" w14:textId="77777777" w:rsidTr="00D82D0A">
        <w:tc>
          <w:tcPr>
            <w:tcW w:w="1457" w:type="dxa"/>
          </w:tcPr>
          <w:p w14:paraId="73AEB1F4" w14:textId="77777777" w:rsidR="005069EA" w:rsidRPr="00787BFC" w:rsidRDefault="005069EA" w:rsidP="00167C41">
            <w:pPr>
              <w:rPr>
                <w:rFonts w:ascii="Times New Roman" w:hAnsi="Times New Roman" w:cs="Times New Roman"/>
                <w:sz w:val="22"/>
                <w:szCs w:val="22"/>
                <w:lang w:val="en-US"/>
              </w:rPr>
            </w:pPr>
          </w:p>
          <w:p w14:paraId="0FEDC592" w14:textId="77777777" w:rsidR="005069EA" w:rsidRPr="00787BFC" w:rsidRDefault="005069EA" w:rsidP="00167C41">
            <w:pPr>
              <w:rPr>
                <w:rFonts w:ascii="Times New Roman" w:hAnsi="Times New Roman" w:cs="Times New Roman"/>
                <w:sz w:val="22"/>
                <w:szCs w:val="22"/>
                <w:lang w:val="en-US"/>
              </w:rPr>
            </w:pPr>
          </w:p>
        </w:tc>
        <w:tc>
          <w:tcPr>
            <w:tcW w:w="1127" w:type="dxa"/>
            <w:vAlign w:val="center"/>
          </w:tcPr>
          <w:p w14:paraId="2FC1231E" w14:textId="77777777" w:rsidR="005069EA" w:rsidRPr="00787BFC" w:rsidRDefault="005069EA" w:rsidP="00167C41">
            <w:pPr>
              <w:jc w:val="center"/>
              <w:rPr>
                <w:rFonts w:ascii="Times New Roman" w:hAnsi="Times New Roman" w:cs="Times New Roman"/>
                <w:sz w:val="14"/>
                <w:szCs w:val="14"/>
                <w:lang w:val="en-US"/>
              </w:rPr>
            </w:pPr>
            <w:r w:rsidRPr="00787BFC">
              <w:rPr>
                <w:rFonts w:ascii="Times New Roman" w:hAnsi="Times New Roman" w:cs="Times New Roman"/>
                <w:sz w:val="14"/>
                <w:szCs w:val="14"/>
                <w:lang w:val="en-US"/>
              </w:rPr>
              <w:t>Enrolment</w:t>
            </w:r>
          </w:p>
        </w:tc>
        <w:tc>
          <w:tcPr>
            <w:tcW w:w="1128" w:type="dxa"/>
            <w:vAlign w:val="center"/>
          </w:tcPr>
          <w:p w14:paraId="1F6D0EC4" w14:textId="3E971985" w:rsidR="005069EA" w:rsidRPr="006C42FB" w:rsidRDefault="005069EA" w:rsidP="00167C41">
            <w:pPr>
              <w:jc w:val="center"/>
              <w:rPr>
                <w:rFonts w:ascii="Times New Roman" w:hAnsi="Times New Roman" w:cs="Times New Roman"/>
                <w:sz w:val="14"/>
                <w:szCs w:val="14"/>
                <w:lang w:val="en-US"/>
              </w:rPr>
            </w:pPr>
            <w:r>
              <w:rPr>
                <w:rFonts w:ascii="Times New Roman" w:hAnsi="Times New Roman" w:cs="Times New Roman"/>
                <w:sz w:val="14"/>
                <w:szCs w:val="14"/>
                <w:lang w:val="en-US"/>
              </w:rPr>
              <w:t>2-</w:t>
            </w:r>
            <w:r w:rsidRPr="006C42FB">
              <w:rPr>
                <w:rFonts w:ascii="Times New Roman" w:hAnsi="Times New Roman" w:cs="Times New Roman"/>
                <w:sz w:val="14"/>
                <w:szCs w:val="14"/>
                <w:lang w:val="en-US"/>
              </w:rPr>
              <w:t>3</w:t>
            </w:r>
            <w:r w:rsidR="00FA3AF8">
              <w:rPr>
                <w:rFonts w:ascii="Times New Roman" w:hAnsi="Times New Roman" w:cs="Times New Roman"/>
                <w:sz w:val="14"/>
                <w:szCs w:val="14"/>
                <w:lang w:val="en-US"/>
              </w:rPr>
              <w:t xml:space="preserve"> (up to 6)</w:t>
            </w:r>
            <w:r w:rsidRPr="006C42FB">
              <w:rPr>
                <w:rFonts w:ascii="Times New Roman" w:hAnsi="Times New Roman" w:cs="Times New Roman"/>
                <w:sz w:val="14"/>
                <w:szCs w:val="14"/>
                <w:lang w:val="en-US"/>
              </w:rPr>
              <w:t xml:space="preserve"> weeks after </w:t>
            </w:r>
            <w:r>
              <w:rPr>
                <w:rFonts w:ascii="Times New Roman" w:hAnsi="Times New Roman" w:cs="Times New Roman"/>
                <w:sz w:val="14"/>
                <w:szCs w:val="14"/>
                <w:lang w:val="en-US"/>
              </w:rPr>
              <w:t>1</w:t>
            </w:r>
            <w:r w:rsidRPr="00D82D0A">
              <w:rPr>
                <w:rFonts w:ascii="Times New Roman" w:hAnsi="Times New Roman" w:cs="Times New Roman"/>
                <w:sz w:val="14"/>
                <w:szCs w:val="14"/>
                <w:vertAlign w:val="superscript"/>
                <w:lang w:val="en-US"/>
              </w:rPr>
              <w:t>st</w:t>
            </w:r>
            <w:r>
              <w:rPr>
                <w:rFonts w:ascii="Times New Roman" w:hAnsi="Times New Roman" w:cs="Times New Roman"/>
                <w:sz w:val="14"/>
                <w:szCs w:val="14"/>
                <w:lang w:val="en-US"/>
              </w:rPr>
              <w:t xml:space="preserve"> dose of </w:t>
            </w:r>
            <w:r w:rsidRPr="006C42FB">
              <w:rPr>
                <w:rFonts w:ascii="Times New Roman" w:hAnsi="Times New Roman" w:cs="Times New Roman"/>
                <w:sz w:val="14"/>
                <w:szCs w:val="14"/>
                <w:lang w:val="en-US"/>
              </w:rPr>
              <w:t>COVID-19 vaccine</w:t>
            </w:r>
            <w:r>
              <w:rPr>
                <w:rFonts w:ascii="Times New Roman" w:hAnsi="Times New Roman" w:cs="Times New Roman"/>
                <w:sz w:val="14"/>
                <w:szCs w:val="14"/>
                <w:vertAlign w:val="superscript"/>
                <w:lang w:val="en-US"/>
              </w:rPr>
              <w:t>1</w:t>
            </w:r>
          </w:p>
        </w:tc>
        <w:tc>
          <w:tcPr>
            <w:tcW w:w="1127" w:type="dxa"/>
            <w:vAlign w:val="center"/>
          </w:tcPr>
          <w:p w14:paraId="35DC3904" w14:textId="2C2D9FEE" w:rsidR="005069EA" w:rsidRPr="006C42FB" w:rsidRDefault="005069EA" w:rsidP="00167C41">
            <w:pPr>
              <w:jc w:val="center"/>
              <w:rPr>
                <w:rFonts w:ascii="Times New Roman" w:hAnsi="Times New Roman" w:cs="Times New Roman"/>
                <w:sz w:val="14"/>
                <w:szCs w:val="14"/>
                <w:lang w:val="en-US"/>
              </w:rPr>
            </w:pPr>
            <w:r>
              <w:rPr>
                <w:rFonts w:ascii="Times New Roman" w:hAnsi="Times New Roman" w:cs="Times New Roman"/>
                <w:sz w:val="14"/>
                <w:szCs w:val="14"/>
                <w:lang w:val="en-US"/>
              </w:rPr>
              <w:t>Within 4 weeks of 2</w:t>
            </w:r>
            <w:r w:rsidRPr="00D82D0A">
              <w:rPr>
                <w:rFonts w:ascii="Times New Roman" w:hAnsi="Times New Roman" w:cs="Times New Roman"/>
                <w:sz w:val="14"/>
                <w:szCs w:val="14"/>
                <w:vertAlign w:val="superscript"/>
                <w:lang w:val="en-US"/>
              </w:rPr>
              <w:t>nd</w:t>
            </w:r>
            <w:r>
              <w:rPr>
                <w:rFonts w:ascii="Times New Roman" w:hAnsi="Times New Roman" w:cs="Times New Roman"/>
                <w:sz w:val="14"/>
                <w:szCs w:val="14"/>
                <w:lang w:val="en-US"/>
              </w:rPr>
              <w:t xml:space="preserve"> dose of COVID-19 vaccine</w:t>
            </w:r>
            <w:r w:rsidR="00940656" w:rsidRPr="00D82D0A">
              <w:rPr>
                <w:rFonts w:ascii="Times New Roman" w:hAnsi="Times New Roman" w:cs="Times New Roman"/>
                <w:sz w:val="14"/>
                <w:szCs w:val="14"/>
                <w:vertAlign w:val="superscript"/>
                <w:lang w:val="en-US"/>
              </w:rPr>
              <w:t>2</w:t>
            </w:r>
          </w:p>
        </w:tc>
        <w:tc>
          <w:tcPr>
            <w:tcW w:w="1128" w:type="dxa"/>
            <w:vAlign w:val="center"/>
          </w:tcPr>
          <w:p w14:paraId="5C8410B0" w14:textId="5D32352A" w:rsidR="005069EA" w:rsidRPr="006C42FB" w:rsidRDefault="005069EA" w:rsidP="00167C41">
            <w:pPr>
              <w:jc w:val="center"/>
              <w:rPr>
                <w:rFonts w:ascii="Times New Roman" w:hAnsi="Times New Roman" w:cs="Times New Roman"/>
                <w:sz w:val="14"/>
                <w:szCs w:val="14"/>
                <w:lang w:val="en-US"/>
              </w:rPr>
            </w:pPr>
            <w:r>
              <w:rPr>
                <w:rFonts w:ascii="Times New Roman" w:hAnsi="Times New Roman" w:cs="Times New Roman"/>
                <w:sz w:val="14"/>
                <w:szCs w:val="14"/>
                <w:lang w:val="en-US"/>
              </w:rPr>
              <w:t xml:space="preserve">2-3 </w:t>
            </w:r>
            <w:r w:rsidRPr="006C42FB">
              <w:rPr>
                <w:rFonts w:ascii="Times New Roman" w:hAnsi="Times New Roman" w:cs="Times New Roman"/>
                <w:sz w:val="14"/>
                <w:szCs w:val="14"/>
                <w:lang w:val="en-US"/>
              </w:rPr>
              <w:t>weeks</w:t>
            </w:r>
            <w:r w:rsidR="00FA3AF8">
              <w:rPr>
                <w:rFonts w:ascii="Times New Roman" w:hAnsi="Times New Roman" w:cs="Times New Roman"/>
                <w:sz w:val="14"/>
                <w:szCs w:val="14"/>
                <w:lang w:val="en-US"/>
              </w:rPr>
              <w:t xml:space="preserve"> (up to 6)</w:t>
            </w:r>
            <w:r w:rsidRPr="006C42FB">
              <w:rPr>
                <w:rFonts w:ascii="Times New Roman" w:hAnsi="Times New Roman" w:cs="Times New Roman"/>
                <w:sz w:val="14"/>
                <w:szCs w:val="14"/>
                <w:lang w:val="en-US"/>
              </w:rPr>
              <w:t xml:space="preserve"> after 2</w:t>
            </w:r>
            <w:r w:rsidRPr="006C42FB">
              <w:rPr>
                <w:rFonts w:ascii="Times New Roman" w:hAnsi="Times New Roman" w:cs="Times New Roman"/>
                <w:sz w:val="14"/>
                <w:szCs w:val="14"/>
                <w:vertAlign w:val="superscript"/>
                <w:lang w:val="en-US"/>
              </w:rPr>
              <w:t>nd</w:t>
            </w:r>
            <w:r w:rsidRPr="006C42FB">
              <w:rPr>
                <w:rFonts w:ascii="Times New Roman" w:hAnsi="Times New Roman" w:cs="Times New Roman"/>
                <w:sz w:val="14"/>
                <w:szCs w:val="14"/>
                <w:lang w:val="en-US"/>
              </w:rPr>
              <w:t xml:space="preserve"> dose of COVID-19 vaccine</w:t>
            </w:r>
          </w:p>
        </w:tc>
        <w:tc>
          <w:tcPr>
            <w:tcW w:w="1127" w:type="dxa"/>
          </w:tcPr>
          <w:p w14:paraId="7E2BE57F" w14:textId="4BD2F56B" w:rsidR="005069EA" w:rsidRPr="006C42FB" w:rsidRDefault="005069EA">
            <w:pPr>
              <w:jc w:val="center"/>
              <w:rPr>
                <w:rFonts w:ascii="Times New Roman" w:hAnsi="Times New Roman" w:cs="Times New Roman"/>
                <w:sz w:val="14"/>
                <w:szCs w:val="14"/>
              </w:rPr>
            </w:pPr>
            <w:r w:rsidRPr="006C42FB">
              <w:rPr>
                <w:rFonts w:ascii="Times New Roman" w:hAnsi="Times New Roman" w:cs="Times New Roman"/>
                <w:sz w:val="14"/>
                <w:szCs w:val="14"/>
                <w:lang w:val="en-US"/>
              </w:rPr>
              <w:t xml:space="preserve">3(±1) months </w:t>
            </w:r>
            <w:r>
              <w:rPr>
                <w:rFonts w:ascii="Times New Roman" w:hAnsi="Times New Roman" w:cs="Times New Roman"/>
                <w:sz w:val="14"/>
                <w:szCs w:val="14"/>
                <w:lang w:val="en-US"/>
              </w:rPr>
              <w:t>from 2</w:t>
            </w:r>
            <w:r w:rsidRPr="00D82D0A">
              <w:rPr>
                <w:rFonts w:ascii="Times New Roman" w:hAnsi="Times New Roman" w:cs="Times New Roman"/>
                <w:sz w:val="14"/>
                <w:szCs w:val="14"/>
                <w:vertAlign w:val="superscript"/>
                <w:lang w:val="en-US"/>
              </w:rPr>
              <w:t>nd</w:t>
            </w:r>
            <w:r>
              <w:rPr>
                <w:rFonts w:ascii="Times New Roman" w:hAnsi="Times New Roman" w:cs="Times New Roman"/>
                <w:sz w:val="14"/>
                <w:szCs w:val="14"/>
                <w:lang w:val="en-US"/>
              </w:rPr>
              <w:t xml:space="preserve"> dose of</w:t>
            </w:r>
            <w:r w:rsidRPr="006C42FB">
              <w:rPr>
                <w:rFonts w:ascii="Times New Roman" w:hAnsi="Times New Roman" w:cs="Times New Roman"/>
                <w:sz w:val="14"/>
                <w:szCs w:val="14"/>
                <w:lang w:val="en-US"/>
              </w:rPr>
              <w:t xml:space="preserve"> COVID-19 vaccine</w:t>
            </w:r>
            <w:r>
              <w:rPr>
                <w:rFonts w:ascii="Times New Roman" w:hAnsi="Times New Roman" w:cs="Times New Roman"/>
                <w:sz w:val="14"/>
                <w:szCs w:val="14"/>
                <w:vertAlign w:val="superscript"/>
                <w:lang w:val="en-US"/>
              </w:rPr>
              <w:t>1</w:t>
            </w:r>
          </w:p>
        </w:tc>
        <w:tc>
          <w:tcPr>
            <w:tcW w:w="1128" w:type="dxa"/>
            <w:vAlign w:val="center"/>
          </w:tcPr>
          <w:p w14:paraId="51811FA8" w14:textId="795489AF" w:rsidR="005069EA" w:rsidRPr="006C42FB" w:rsidRDefault="005069EA" w:rsidP="00167C41">
            <w:pPr>
              <w:jc w:val="center"/>
              <w:rPr>
                <w:rFonts w:ascii="Times New Roman" w:hAnsi="Times New Roman" w:cs="Times New Roman"/>
                <w:sz w:val="14"/>
                <w:szCs w:val="14"/>
                <w:lang w:val="en-US"/>
              </w:rPr>
            </w:pPr>
            <w:r w:rsidRPr="006C42FB">
              <w:rPr>
                <w:rFonts w:ascii="Times New Roman" w:hAnsi="Times New Roman" w:cs="Times New Roman"/>
                <w:sz w:val="14"/>
                <w:szCs w:val="14"/>
                <w:lang w:val="en-US"/>
              </w:rPr>
              <w:t>6(±</w:t>
            </w:r>
            <w:r>
              <w:rPr>
                <w:rFonts w:ascii="Times New Roman" w:hAnsi="Times New Roman" w:cs="Times New Roman"/>
                <w:sz w:val="14"/>
                <w:szCs w:val="14"/>
                <w:lang w:val="en-US"/>
              </w:rPr>
              <w:t>1</w:t>
            </w:r>
            <w:r w:rsidRPr="006C42FB">
              <w:rPr>
                <w:rFonts w:ascii="Times New Roman" w:hAnsi="Times New Roman" w:cs="Times New Roman"/>
                <w:sz w:val="14"/>
                <w:szCs w:val="14"/>
                <w:lang w:val="en-US"/>
              </w:rPr>
              <w:t xml:space="preserve">) months </w:t>
            </w:r>
            <w:r>
              <w:rPr>
                <w:rFonts w:ascii="Times New Roman" w:hAnsi="Times New Roman" w:cs="Times New Roman"/>
                <w:sz w:val="14"/>
                <w:szCs w:val="14"/>
                <w:lang w:val="en-US"/>
              </w:rPr>
              <w:t>from 2</w:t>
            </w:r>
            <w:r w:rsidRPr="00D82D0A">
              <w:rPr>
                <w:rFonts w:ascii="Times New Roman" w:hAnsi="Times New Roman" w:cs="Times New Roman"/>
                <w:sz w:val="14"/>
                <w:szCs w:val="14"/>
                <w:vertAlign w:val="superscript"/>
                <w:lang w:val="en-US"/>
              </w:rPr>
              <w:t>nd</w:t>
            </w:r>
            <w:r>
              <w:rPr>
                <w:rFonts w:ascii="Times New Roman" w:hAnsi="Times New Roman" w:cs="Times New Roman"/>
                <w:sz w:val="14"/>
                <w:szCs w:val="14"/>
                <w:lang w:val="en-US"/>
              </w:rPr>
              <w:t xml:space="preserve"> dose</w:t>
            </w:r>
            <w:r w:rsidRPr="006C42FB">
              <w:rPr>
                <w:rFonts w:ascii="Times New Roman" w:hAnsi="Times New Roman" w:cs="Times New Roman"/>
                <w:sz w:val="14"/>
                <w:szCs w:val="14"/>
                <w:lang w:val="en-US"/>
              </w:rPr>
              <w:t xml:space="preserve"> of COVID-19 vaccine</w:t>
            </w:r>
            <w:r w:rsidR="00940656" w:rsidRPr="00D82D0A">
              <w:rPr>
                <w:rFonts w:ascii="Times New Roman" w:hAnsi="Times New Roman" w:cs="Times New Roman"/>
                <w:sz w:val="14"/>
                <w:szCs w:val="14"/>
                <w:vertAlign w:val="superscript"/>
                <w:lang w:val="en-US"/>
              </w:rPr>
              <w:t>1</w:t>
            </w:r>
            <w:r w:rsidR="00A63577">
              <w:rPr>
                <w:rFonts w:ascii="Times New Roman" w:hAnsi="Times New Roman" w:cs="Times New Roman"/>
                <w:sz w:val="14"/>
                <w:szCs w:val="14"/>
                <w:vertAlign w:val="superscript"/>
                <w:lang w:val="en-US"/>
              </w:rPr>
              <w:t>,3</w:t>
            </w:r>
          </w:p>
        </w:tc>
        <w:tc>
          <w:tcPr>
            <w:tcW w:w="1128" w:type="dxa"/>
            <w:vAlign w:val="center"/>
          </w:tcPr>
          <w:p w14:paraId="61A84333" w14:textId="4789C3CB" w:rsidR="005069EA" w:rsidRPr="006C42FB" w:rsidRDefault="005069EA" w:rsidP="00167C41">
            <w:pPr>
              <w:jc w:val="center"/>
              <w:rPr>
                <w:rFonts w:ascii="Times New Roman" w:hAnsi="Times New Roman" w:cs="Times New Roman"/>
                <w:sz w:val="14"/>
                <w:szCs w:val="14"/>
                <w:lang w:val="en-US"/>
              </w:rPr>
            </w:pPr>
            <w:r w:rsidRPr="006C42FB">
              <w:rPr>
                <w:rFonts w:ascii="Times New Roman" w:hAnsi="Times New Roman" w:cs="Times New Roman"/>
                <w:sz w:val="14"/>
                <w:szCs w:val="14"/>
                <w:lang w:val="en-US"/>
              </w:rPr>
              <w:t>12(±</w:t>
            </w:r>
            <w:r>
              <w:rPr>
                <w:rFonts w:ascii="Times New Roman" w:hAnsi="Times New Roman" w:cs="Times New Roman"/>
                <w:sz w:val="14"/>
                <w:szCs w:val="14"/>
                <w:lang w:val="en-US"/>
              </w:rPr>
              <w:t>1</w:t>
            </w:r>
            <w:r w:rsidRPr="006C42FB">
              <w:rPr>
                <w:rFonts w:ascii="Times New Roman" w:hAnsi="Times New Roman" w:cs="Times New Roman"/>
                <w:sz w:val="14"/>
                <w:szCs w:val="14"/>
                <w:lang w:val="en-US"/>
              </w:rPr>
              <w:t xml:space="preserve">) months </w:t>
            </w:r>
            <w:r>
              <w:rPr>
                <w:rFonts w:ascii="Times New Roman" w:hAnsi="Times New Roman" w:cs="Times New Roman"/>
                <w:sz w:val="14"/>
                <w:szCs w:val="14"/>
                <w:lang w:val="en-US"/>
              </w:rPr>
              <w:t>from 2</w:t>
            </w:r>
            <w:r w:rsidRPr="00D82D0A">
              <w:rPr>
                <w:rFonts w:ascii="Times New Roman" w:hAnsi="Times New Roman" w:cs="Times New Roman"/>
                <w:sz w:val="14"/>
                <w:szCs w:val="14"/>
                <w:vertAlign w:val="superscript"/>
                <w:lang w:val="en-US"/>
              </w:rPr>
              <w:t>nd</w:t>
            </w:r>
            <w:r>
              <w:rPr>
                <w:rFonts w:ascii="Times New Roman" w:hAnsi="Times New Roman" w:cs="Times New Roman"/>
                <w:sz w:val="14"/>
                <w:szCs w:val="14"/>
                <w:lang w:val="en-US"/>
              </w:rPr>
              <w:t xml:space="preserve"> dose</w:t>
            </w:r>
            <w:r w:rsidRPr="006C42FB">
              <w:rPr>
                <w:rFonts w:ascii="Times New Roman" w:hAnsi="Times New Roman" w:cs="Times New Roman"/>
                <w:sz w:val="14"/>
                <w:szCs w:val="14"/>
                <w:lang w:val="en-US"/>
              </w:rPr>
              <w:t xml:space="preserve"> of COVID-19 vaccine</w:t>
            </w:r>
            <w:r w:rsidR="00940656" w:rsidRPr="00D82D0A">
              <w:rPr>
                <w:rFonts w:ascii="Times New Roman" w:hAnsi="Times New Roman" w:cs="Times New Roman"/>
                <w:sz w:val="14"/>
                <w:szCs w:val="14"/>
                <w:vertAlign w:val="superscript"/>
                <w:lang w:val="en-US"/>
              </w:rPr>
              <w:t>1</w:t>
            </w:r>
            <w:r w:rsidR="00A63577">
              <w:rPr>
                <w:rFonts w:ascii="Times New Roman" w:hAnsi="Times New Roman" w:cs="Times New Roman"/>
                <w:sz w:val="14"/>
                <w:szCs w:val="14"/>
                <w:vertAlign w:val="superscript"/>
                <w:lang w:val="en-US"/>
              </w:rPr>
              <w:t>,3</w:t>
            </w:r>
          </w:p>
        </w:tc>
      </w:tr>
      <w:tr w:rsidR="005069EA" w:rsidRPr="00787BFC" w14:paraId="0C91B841" w14:textId="77777777" w:rsidTr="00D82D0A">
        <w:trPr>
          <w:trHeight w:val="432"/>
        </w:trPr>
        <w:tc>
          <w:tcPr>
            <w:tcW w:w="1457" w:type="dxa"/>
            <w:vAlign w:val="center"/>
          </w:tcPr>
          <w:p w14:paraId="63665FB1" w14:textId="77777777" w:rsidR="005069EA" w:rsidRPr="00697B0E" w:rsidRDefault="005069EA" w:rsidP="00167C41">
            <w:pPr>
              <w:rPr>
                <w:rFonts w:ascii="Times New Roman" w:hAnsi="Times New Roman" w:cs="Times New Roman"/>
                <w:sz w:val="18"/>
                <w:szCs w:val="22"/>
                <w:lang w:val="en-US"/>
              </w:rPr>
            </w:pPr>
            <w:r w:rsidRPr="00697B0E">
              <w:rPr>
                <w:rFonts w:ascii="Times New Roman" w:hAnsi="Times New Roman" w:cs="Times New Roman"/>
                <w:sz w:val="18"/>
                <w:szCs w:val="22"/>
                <w:lang w:val="en-US"/>
              </w:rPr>
              <w:t>Informed consent</w:t>
            </w:r>
          </w:p>
        </w:tc>
        <w:tc>
          <w:tcPr>
            <w:tcW w:w="1127" w:type="dxa"/>
            <w:vAlign w:val="center"/>
          </w:tcPr>
          <w:p w14:paraId="697202E8" w14:textId="77777777" w:rsidR="005069EA" w:rsidRPr="00787BFC" w:rsidRDefault="005069EA" w:rsidP="00D82D0A">
            <w:pPr>
              <w:jc w:val="center"/>
              <w:rPr>
                <w:rFonts w:ascii="Times New Roman" w:hAnsi="Times New Roman" w:cs="Times New Roman"/>
                <w:sz w:val="22"/>
                <w:szCs w:val="22"/>
                <w:lang w:val="en-US"/>
              </w:rPr>
            </w:pPr>
            <w:r w:rsidRPr="00787BFC">
              <w:rPr>
                <w:rFonts w:ascii="Times New Roman" w:hAnsi="Times New Roman" w:cs="Times New Roman"/>
                <w:sz w:val="22"/>
                <w:szCs w:val="22"/>
                <w:lang w:val="en-US"/>
              </w:rPr>
              <w:t>x</w:t>
            </w:r>
          </w:p>
        </w:tc>
        <w:tc>
          <w:tcPr>
            <w:tcW w:w="1128" w:type="dxa"/>
            <w:vAlign w:val="center"/>
          </w:tcPr>
          <w:p w14:paraId="55E676EA" w14:textId="77777777" w:rsidR="005069EA" w:rsidRPr="00787BFC" w:rsidRDefault="005069EA" w:rsidP="00D82D0A">
            <w:pPr>
              <w:jc w:val="center"/>
              <w:rPr>
                <w:rFonts w:ascii="Times New Roman" w:hAnsi="Times New Roman" w:cs="Times New Roman"/>
                <w:sz w:val="22"/>
                <w:szCs w:val="22"/>
                <w:lang w:val="en-US"/>
              </w:rPr>
            </w:pPr>
          </w:p>
        </w:tc>
        <w:tc>
          <w:tcPr>
            <w:tcW w:w="1127" w:type="dxa"/>
            <w:vAlign w:val="center"/>
          </w:tcPr>
          <w:p w14:paraId="056CD9C9" w14:textId="77777777" w:rsidR="005069EA" w:rsidRPr="00787BFC" w:rsidRDefault="005069EA" w:rsidP="00D82D0A">
            <w:pPr>
              <w:jc w:val="center"/>
              <w:rPr>
                <w:rFonts w:ascii="Times New Roman" w:hAnsi="Times New Roman" w:cs="Times New Roman"/>
                <w:sz w:val="22"/>
                <w:szCs w:val="22"/>
                <w:lang w:val="en-US"/>
              </w:rPr>
            </w:pPr>
          </w:p>
        </w:tc>
        <w:tc>
          <w:tcPr>
            <w:tcW w:w="1128" w:type="dxa"/>
            <w:vAlign w:val="center"/>
          </w:tcPr>
          <w:p w14:paraId="3BEBA147" w14:textId="77777777" w:rsidR="005069EA" w:rsidRPr="00787BFC" w:rsidRDefault="005069EA" w:rsidP="00F86B88">
            <w:pPr>
              <w:jc w:val="center"/>
              <w:rPr>
                <w:rFonts w:ascii="Times New Roman" w:hAnsi="Times New Roman" w:cs="Times New Roman"/>
                <w:sz w:val="22"/>
                <w:szCs w:val="22"/>
                <w:lang w:val="en-US"/>
              </w:rPr>
            </w:pPr>
          </w:p>
        </w:tc>
        <w:tc>
          <w:tcPr>
            <w:tcW w:w="1127" w:type="dxa"/>
            <w:vAlign w:val="center"/>
          </w:tcPr>
          <w:p w14:paraId="0AD08C38" w14:textId="77777777" w:rsidR="005069EA" w:rsidRPr="00787BFC" w:rsidRDefault="005069EA">
            <w:pPr>
              <w:jc w:val="center"/>
              <w:rPr>
                <w:rFonts w:ascii="Times New Roman" w:hAnsi="Times New Roman" w:cs="Times New Roman"/>
                <w:sz w:val="22"/>
                <w:szCs w:val="22"/>
              </w:rPr>
            </w:pPr>
          </w:p>
        </w:tc>
        <w:tc>
          <w:tcPr>
            <w:tcW w:w="1128" w:type="dxa"/>
            <w:vAlign w:val="center"/>
          </w:tcPr>
          <w:p w14:paraId="5996EF8B" w14:textId="75103BBC" w:rsidR="005069EA" w:rsidRPr="00787BFC" w:rsidRDefault="005069EA">
            <w:pPr>
              <w:jc w:val="center"/>
              <w:rPr>
                <w:rFonts w:ascii="Times New Roman" w:hAnsi="Times New Roman" w:cs="Times New Roman"/>
                <w:sz w:val="22"/>
                <w:szCs w:val="22"/>
                <w:lang w:val="en-US"/>
              </w:rPr>
            </w:pPr>
          </w:p>
        </w:tc>
        <w:tc>
          <w:tcPr>
            <w:tcW w:w="1128" w:type="dxa"/>
            <w:vAlign w:val="center"/>
          </w:tcPr>
          <w:p w14:paraId="0E707DAB" w14:textId="77777777" w:rsidR="005069EA" w:rsidRPr="00787BFC" w:rsidRDefault="005069EA">
            <w:pPr>
              <w:jc w:val="center"/>
              <w:rPr>
                <w:rFonts w:ascii="Times New Roman" w:hAnsi="Times New Roman" w:cs="Times New Roman"/>
                <w:sz w:val="22"/>
                <w:szCs w:val="22"/>
                <w:lang w:val="en-US"/>
              </w:rPr>
            </w:pPr>
          </w:p>
        </w:tc>
      </w:tr>
      <w:tr w:rsidR="005069EA" w:rsidRPr="00787BFC" w14:paraId="5FF8685F" w14:textId="77777777" w:rsidTr="00D82D0A">
        <w:trPr>
          <w:trHeight w:val="432"/>
        </w:trPr>
        <w:tc>
          <w:tcPr>
            <w:tcW w:w="1457" w:type="dxa"/>
            <w:vAlign w:val="center"/>
          </w:tcPr>
          <w:p w14:paraId="4D5652C1" w14:textId="77777777" w:rsidR="005069EA" w:rsidRPr="00697B0E" w:rsidRDefault="005069EA" w:rsidP="00167C41">
            <w:pPr>
              <w:rPr>
                <w:rFonts w:ascii="Times New Roman" w:hAnsi="Times New Roman" w:cs="Times New Roman"/>
                <w:sz w:val="18"/>
                <w:szCs w:val="22"/>
                <w:lang w:val="en-US"/>
              </w:rPr>
            </w:pPr>
            <w:r w:rsidRPr="00697B0E">
              <w:rPr>
                <w:rFonts w:ascii="Times New Roman" w:hAnsi="Times New Roman" w:cs="Times New Roman"/>
                <w:sz w:val="18"/>
                <w:szCs w:val="22"/>
                <w:lang w:val="en-US"/>
              </w:rPr>
              <w:t>Eligibility determination</w:t>
            </w:r>
          </w:p>
        </w:tc>
        <w:tc>
          <w:tcPr>
            <w:tcW w:w="1127" w:type="dxa"/>
            <w:vAlign w:val="center"/>
          </w:tcPr>
          <w:p w14:paraId="03B19859" w14:textId="77777777" w:rsidR="005069EA" w:rsidRPr="00787BFC" w:rsidRDefault="005069EA" w:rsidP="00D82D0A">
            <w:pPr>
              <w:jc w:val="center"/>
              <w:rPr>
                <w:rFonts w:ascii="Times New Roman" w:hAnsi="Times New Roman" w:cs="Times New Roman"/>
                <w:sz w:val="22"/>
                <w:szCs w:val="22"/>
                <w:lang w:val="en-US"/>
              </w:rPr>
            </w:pPr>
            <w:r w:rsidRPr="00787BFC">
              <w:rPr>
                <w:rFonts w:ascii="Times New Roman" w:hAnsi="Times New Roman" w:cs="Times New Roman"/>
                <w:sz w:val="22"/>
                <w:szCs w:val="22"/>
                <w:lang w:val="en-US"/>
              </w:rPr>
              <w:t>x</w:t>
            </w:r>
          </w:p>
        </w:tc>
        <w:tc>
          <w:tcPr>
            <w:tcW w:w="1128" w:type="dxa"/>
            <w:vAlign w:val="center"/>
          </w:tcPr>
          <w:p w14:paraId="4F2E46D4" w14:textId="77777777" w:rsidR="005069EA" w:rsidRPr="00787BFC" w:rsidRDefault="005069EA" w:rsidP="00D82D0A">
            <w:pPr>
              <w:jc w:val="center"/>
              <w:rPr>
                <w:rFonts w:ascii="Times New Roman" w:hAnsi="Times New Roman" w:cs="Times New Roman"/>
                <w:sz w:val="22"/>
                <w:szCs w:val="22"/>
                <w:lang w:val="en-US"/>
              </w:rPr>
            </w:pPr>
          </w:p>
        </w:tc>
        <w:tc>
          <w:tcPr>
            <w:tcW w:w="1127" w:type="dxa"/>
            <w:vAlign w:val="center"/>
          </w:tcPr>
          <w:p w14:paraId="3D600B35" w14:textId="77777777" w:rsidR="005069EA" w:rsidRPr="00787BFC" w:rsidRDefault="005069EA" w:rsidP="00D82D0A">
            <w:pPr>
              <w:jc w:val="center"/>
              <w:rPr>
                <w:rFonts w:ascii="Times New Roman" w:hAnsi="Times New Roman" w:cs="Times New Roman"/>
                <w:sz w:val="22"/>
                <w:szCs w:val="22"/>
                <w:lang w:val="en-US"/>
              </w:rPr>
            </w:pPr>
          </w:p>
        </w:tc>
        <w:tc>
          <w:tcPr>
            <w:tcW w:w="1128" w:type="dxa"/>
            <w:vAlign w:val="center"/>
          </w:tcPr>
          <w:p w14:paraId="289AC214" w14:textId="77777777" w:rsidR="005069EA" w:rsidRPr="00787BFC" w:rsidRDefault="005069EA" w:rsidP="00F86B88">
            <w:pPr>
              <w:jc w:val="center"/>
              <w:rPr>
                <w:rFonts w:ascii="Times New Roman" w:hAnsi="Times New Roman" w:cs="Times New Roman"/>
                <w:sz w:val="22"/>
                <w:szCs w:val="22"/>
                <w:lang w:val="en-US"/>
              </w:rPr>
            </w:pPr>
          </w:p>
        </w:tc>
        <w:tc>
          <w:tcPr>
            <w:tcW w:w="1127" w:type="dxa"/>
            <w:vAlign w:val="center"/>
          </w:tcPr>
          <w:p w14:paraId="7AD2A28C" w14:textId="77777777" w:rsidR="005069EA" w:rsidRPr="00787BFC" w:rsidRDefault="005069EA">
            <w:pPr>
              <w:jc w:val="center"/>
              <w:rPr>
                <w:rFonts w:ascii="Times New Roman" w:hAnsi="Times New Roman" w:cs="Times New Roman"/>
                <w:sz w:val="22"/>
                <w:szCs w:val="22"/>
              </w:rPr>
            </w:pPr>
          </w:p>
        </w:tc>
        <w:tc>
          <w:tcPr>
            <w:tcW w:w="1128" w:type="dxa"/>
            <w:vAlign w:val="center"/>
          </w:tcPr>
          <w:p w14:paraId="54143A3A" w14:textId="7D9FE9A0" w:rsidR="005069EA" w:rsidRPr="00787BFC" w:rsidRDefault="005069EA">
            <w:pPr>
              <w:jc w:val="center"/>
              <w:rPr>
                <w:rFonts w:ascii="Times New Roman" w:hAnsi="Times New Roman" w:cs="Times New Roman"/>
                <w:sz w:val="22"/>
                <w:szCs w:val="22"/>
                <w:lang w:val="en-US"/>
              </w:rPr>
            </w:pPr>
          </w:p>
        </w:tc>
        <w:tc>
          <w:tcPr>
            <w:tcW w:w="1128" w:type="dxa"/>
            <w:vAlign w:val="center"/>
          </w:tcPr>
          <w:p w14:paraId="270AAF6B" w14:textId="77777777" w:rsidR="005069EA" w:rsidRPr="00787BFC" w:rsidRDefault="005069EA">
            <w:pPr>
              <w:jc w:val="center"/>
              <w:rPr>
                <w:rFonts w:ascii="Times New Roman" w:hAnsi="Times New Roman" w:cs="Times New Roman"/>
                <w:sz w:val="22"/>
                <w:szCs w:val="22"/>
                <w:lang w:val="en-US"/>
              </w:rPr>
            </w:pPr>
          </w:p>
        </w:tc>
      </w:tr>
      <w:tr w:rsidR="005069EA" w:rsidRPr="00787BFC" w14:paraId="724C93DE" w14:textId="77777777" w:rsidTr="00D82D0A">
        <w:trPr>
          <w:trHeight w:val="432"/>
        </w:trPr>
        <w:tc>
          <w:tcPr>
            <w:tcW w:w="1457" w:type="dxa"/>
            <w:vAlign w:val="center"/>
          </w:tcPr>
          <w:p w14:paraId="57C8EFCF" w14:textId="77777777" w:rsidR="005069EA" w:rsidRPr="00697B0E" w:rsidRDefault="005069EA" w:rsidP="00167C41">
            <w:pPr>
              <w:rPr>
                <w:rFonts w:ascii="Times New Roman" w:hAnsi="Times New Roman" w:cs="Times New Roman"/>
                <w:sz w:val="18"/>
                <w:szCs w:val="22"/>
                <w:lang w:val="en-US"/>
              </w:rPr>
            </w:pPr>
            <w:r w:rsidRPr="00697B0E">
              <w:rPr>
                <w:rFonts w:ascii="Times New Roman" w:hAnsi="Times New Roman" w:cs="Times New Roman"/>
                <w:sz w:val="18"/>
                <w:szCs w:val="22"/>
                <w:lang w:val="en-US"/>
              </w:rPr>
              <w:t>Chart review</w:t>
            </w:r>
          </w:p>
        </w:tc>
        <w:tc>
          <w:tcPr>
            <w:tcW w:w="1127" w:type="dxa"/>
            <w:vAlign w:val="center"/>
          </w:tcPr>
          <w:p w14:paraId="52A4B63C" w14:textId="77777777" w:rsidR="005069EA" w:rsidRPr="00787BFC" w:rsidRDefault="005069EA" w:rsidP="00D82D0A">
            <w:pPr>
              <w:jc w:val="center"/>
              <w:rPr>
                <w:rFonts w:ascii="Times New Roman" w:hAnsi="Times New Roman" w:cs="Times New Roman"/>
                <w:sz w:val="22"/>
                <w:szCs w:val="22"/>
                <w:lang w:val="en-US"/>
              </w:rPr>
            </w:pPr>
            <w:r w:rsidRPr="00787BFC">
              <w:rPr>
                <w:rFonts w:ascii="Times New Roman" w:hAnsi="Times New Roman" w:cs="Times New Roman"/>
                <w:sz w:val="22"/>
                <w:szCs w:val="22"/>
                <w:lang w:val="en-US"/>
              </w:rPr>
              <w:t>x</w:t>
            </w:r>
          </w:p>
        </w:tc>
        <w:tc>
          <w:tcPr>
            <w:tcW w:w="1128" w:type="dxa"/>
            <w:vAlign w:val="center"/>
          </w:tcPr>
          <w:p w14:paraId="13EFF411" w14:textId="20117B61" w:rsidR="005069EA" w:rsidRPr="00787BFC" w:rsidRDefault="005069EA" w:rsidP="00D82D0A">
            <w:pPr>
              <w:jc w:val="center"/>
              <w:rPr>
                <w:rFonts w:ascii="Times New Roman" w:hAnsi="Times New Roman" w:cs="Times New Roman"/>
                <w:sz w:val="22"/>
                <w:szCs w:val="22"/>
                <w:lang w:val="en-US"/>
              </w:rPr>
            </w:pPr>
            <w:r>
              <w:rPr>
                <w:rFonts w:ascii="Times New Roman" w:hAnsi="Times New Roman" w:cs="Times New Roman"/>
                <w:sz w:val="22"/>
                <w:szCs w:val="22"/>
                <w:lang w:val="en-US"/>
              </w:rPr>
              <w:t>x</w:t>
            </w:r>
          </w:p>
        </w:tc>
        <w:tc>
          <w:tcPr>
            <w:tcW w:w="1127" w:type="dxa"/>
            <w:vAlign w:val="center"/>
          </w:tcPr>
          <w:p w14:paraId="7772E299" w14:textId="59B70CD5" w:rsidR="005069EA" w:rsidRPr="00787BFC" w:rsidRDefault="005069EA" w:rsidP="00D82D0A">
            <w:pPr>
              <w:jc w:val="center"/>
              <w:rPr>
                <w:rFonts w:ascii="Times New Roman" w:hAnsi="Times New Roman" w:cs="Times New Roman"/>
                <w:sz w:val="22"/>
                <w:szCs w:val="22"/>
                <w:lang w:val="en-US"/>
              </w:rPr>
            </w:pPr>
            <w:r>
              <w:rPr>
                <w:rFonts w:ascii="Times New Roman" w:hAnsi="Times New Roman" w:cs="Times New Roman"/>
                <w:sz w:val="22"/>
                <w:szCs w:val="22"/>
                <w:lang w:val="en-US"/>
              </w:rPr>
              <w:t>x</w:t>
            </w:r>
          </w:p>
        </w:tc>
        <w:tc>
          <w:tcPr>
            <w:tcW w:w="1128" w:type="dxa"/>
            <w:vAlign w:val="center"/>
          </w:tcPr>
          <w:p w14:paraId="0D6C1127" w14:textId="5E7423FD" w:rsidR="005069EA" w:rsidRPr="00787BFC" w:rsidRDefault="005069EA" w:rsidP="00F86B88">
            <w:pPr>
              <w:jc w:val="center"/>
              <w:rPr>
                <w:rFonts w:ascii="Times New Roman" w:hAnsi="Times New Roman" w:cs="Times New Roman"/>
                <w:sz w:val="22"/>
                <w:szCs w:val="22"/>
                <w:lang w:val="en-US"/>
              </w:rPr>
            </w:pPr>
            <w:r>
              <w:rPr>
                <w:rFonts w:ascii="Times New Roman" w:hAnsi="Times New Roman" w:cs="Times New Roman"/>
                <w:sz w:val="22"/>
                <w:szCs w:val="22"/>
                <w:lang w:val="en-US"/>
              </w:rPr>
              <w:t>x</w:t>
            </w:r>
          </w:p>
        </w:tc>
        <w:tc>
          <w:tcPr>
            <w:tcW w:w="1127" w:type="dxa"/>
            <w:vAlign w:val="center"/>
          </w:tcPr>
          <w:p w14:paraId="4E5A32F1" w14:textId="1DFEF835" w:rsidR="005069EA" w:rsidRDefault="005069EA">
            <w:pPr>
              <w:jc w:val="center"/>
              <w:rPr>
                <w:rFonts w:ascii="Times New Roman" w:hAnsi="Times New Roman" w:cs="Times New Roman"/>
                <w:sz w:val="22"/>
                <w:szCs w:val="22"/>
              </w:rPr>
            </w:pPr>
            <w:r>
              <w:rPr>
                <w:rFonts w:ascii="Times New Roman" w:hAnsi="Times New Roman" w:cs="Times New Roman"/>
                <w:sz w:val="22"/>
                <w:szCs w:val="22"/>
              </w:rPr>
              <w:t>x</w:t>
            </w:r>
          </w:p>
        </w:tc>
        <w:tc>
          <w:tcPr>
            <w:tcW w:w="1128" w:type="dxa"/>
            <w:vAlign w:val="center"/>
          </w:tcPr>
          <w:p w14:paraId="05DACB88" w14:textId="7DB2C5C6" w:rsidR="005069EA" w:rsidRPr="00787BFC" w:rsidRDefault="005069EA">
            <w:pPr>
              <w:jc w:val="center"/>
              <w:rPr>
                <w:rFonts w:ascii="Times New Roman" w:hAnsi="Times New Roman" w:cs="Times New Roman"/>
                <w:sz w:val="22"/>
                <w:szCs w:val="22"/>
                <w:lang w:val="en-US"/>
              </w:rPr>
            </w:pPr>
            <w:r>
              <w:rPr>
                <w:rFonts w:ascii="Times New Roman" w:hAnsi="Times New Roman" w:cs="Times New Roman"/>
                <w:sz w:val="22"/>
                <w:szCs w:val="22"/>
                <w:lang w:val="en-US"/>
              </w:rPr>
              <w:t>x</w:t>
            </w:r>
          </w:p>
        </w:tc>
        <w:tc>
          <w:tcPr>
            <w:tcW w:w="1128" w:type="dxa"/>
            <w:vAlign w:val="center"/>
          </w:tcPr>
          <w:p w14:paraId="35BEC306" w14:textId="0C7E47CD" w:rsidR="005069EA" w:rsidRPr="00787BFC" w:rsidRDefault="005069EA">
            <w:pPr>
              <w:jc w:val="center"/>
              <w:rPr>
                <w:rFonts w:ascii="Times New Roman" w:hAnsi="Times New Roman" w:cs="Times New Roman"/>
                <w:sz w:val="22"/>
                <w:szCs w:val="22"/>
                <w:lang w:val="en-US"/>
              </w:rPr>
            </w:pPr>
            <w:r>
              <w:rPr>
                <w:rFonts w:ascii="Times New Roman" w:hAnsi="Times New Roman" w:cs="Times New Roman"/>
                <w:sz w:val="22"/>
                <w:szCs w:val="22"/>
                <w:lang w:val="en-US"/>
              </w:rPr>
              <w:t>x</w:t>
            </w:r>
          </w:p>
        </w:tc>
      </w:tr>
      <w:tr w:rsidR="005069EA" w:rsidRPr="00787BFC" w14:paraId="548785F7" w14:textId="77777777" w:rsidTr="00D82D0A">
        <w:trPr>
          <w:trHeight w:val="432"/>
        </w:trPr>
        <w:tc>
          <w:tcPr>
            <w:tcW w:w="1457" w:type="dxa"/>
            <w:vAlign w:val="center"/>
          </w:tcPr>
          <w:p w14:paraId="7ED1B1EB" w14:textId="77A60534" w:rsidR="005069EA" w:rsidRPr="00697B0E" w:rsidRDefault="005069EA" w:rsidP="00167C41">
            <w:pPr>
              <w:rPr>
                <w:rFonts w:ascii="Times New Roman" w:hAnsi="Times New Roman" w:cs="Times New Roman"/>
                <w:sz w:val="18"/>
                <w:szCs w:val="22"/>
                <w:lang w:val="en-US"/>
              </w:rPr>
            </w:pPr>
            <w:r w:rsidRPr="00697B0E">
              <w:rPr>
                <w:rFonts w:ascii="Times New Roman" w:hAnsi="Times New Roman" w:cs="Times New Roman"/>
                <w:sz w:val="18"/>
                <w:szCs w:val="22"/>
                <w:lang w:val="en-US"/>
              </w:rPr>
              <w:t>Enrolment questionnaire</w:t>
            </w:r>
          </w:p>
        </w:tc>
        <w:tc>
          <w:tcPr>
            <w:tcW w:w="1127" w:type="dxa"/>
            <w:vAlign w:val="center"/>
          </w:tcPr>
          <w:p w14:paraId="4DA37164" w14:textId="77777777" w:rsidR="005069EA" w:rsidRPr="00787BFC" w:rsidRDefault="005069EA" w:rsidP="00D82D0A">
            <w:pPr>
              <w:jc w:val="center"/>
              <w:rPr>
                <w:rFonts w:ascii="Times New Roman" w:hAnsi="Times New Roman" w:cs="Times New Roman"/>
                <w:sz w:val="22"/>
                <w:szCs w:val="22"/>
                <w:lang w:val="en-US"/>
              </w:rPr>
            </w:pPr>
            <w:r w:rsidRPr="00787BFC">
              <w:rPr>
                <w:rFonts w:ascii="Times New Roman" w:hAnsi="Times New Roman" w:cs="Times New Roman"/>
                <w:sz w:val="22"/>
                <w:szCs w:val="22"/>
                <w:lang w:val="en-US"/>
              </w:rPr>
              <w:t>x</w:t>
            </w:r>
          </w:p>
        </w:tc>
        <w:tc>
          <w:tcPr>
            <w:tcW w:w="1128" w:type="dxa"/>
            <w:vAlign w:val="center"/>
          </w:tcPr>
          <w:p w14:paraId="1241EE42" w14:textId="4EA90FB8" w:rsidR="005069EA" w:rsidRPr="00787BFC" w:rsidRDefault="005069EA" w:rsidP="00D82D0A">
            <w:pPr>
              <w:jc w:val="center"/>
              <w:rPr>
                <w:rFonts w:ascii="Times New Roman" w:hAnsi="Times New Roman" w:cs="Times New Roman"/>
                <w:sz w:val="22"/>
                <w:szCs w:val="22"/>
                <w:lang w:val="en-US"/>
              </w:rPr>
            </w:pPr>
          </w:p>
        </w:tc>
        <w:tc>
          <w:tcPr>
            <w:tcW w:w="1127" w:type="dxa"/>
            <w:vAlign w:val="center"/>
          </w:tcPr>
          <w:p w14:paraId="065E2728" w14:textId="1D93EAF2" w:rsidR="005069EA" w:rsidRPr="00787BFC" w:rsidRDefault="005069EA" w:rsidP="00D82D0A">
            <w:pPr>
              <w:jc w:val="center"/>
              <w:rPr>
                <w:rFonts w:ascii="Times New Roman" w:hAnsi="Times New Roman" w:cs="Times New Roman"/>
                <w:sz w:val="22"/>
                <w:szCs w:val="22"/>
                <w:lang w:val="en-US"/>
              </w:rPr>
            </w:pPr>
          </w:p>
        </w:tc>
        <w:tc>
          <w:tcPr>
            <w:tcW w:w="1128" w:type="dxa"/>
            <w:vAlign w:val="center"/>
          </w:tcPr>
          <w:p w14:paraId="6510E074" w14:textId="628EDBD2" w:rsidR="005069EA" w:rsidRPr="00787BFC" w:rsidRDefault="005069EA" w:rsidP="00F86B88">
            <w:pPr>
              <w:jc w:val="center"/>
              <w:rPr>
                <w:rFonts w:ascii="Times New Roman" w:hAnsi="Times New Roman" w:cs="Times New Roman"/>
                <w:sz w:val="22"/>
                <w:szCs w:val="22"/>
                <w:lang w:val="en-US"/>
              </w:rPr>
            </w:pPr>
          </w:p>
        </w:tc>
        <w:tc>
          <w:tcPr>
            <w:tcW w:w="1127" w:type="dxa"/>
            <w:vAlign w:val="center"/>
          </w:tcPr>
          <w:p w14:paraId="2AC94550" w14:textId="77777777" w:rsidR="005069EA" w:rsidRPr="00787BFC" w:rsidRDefault="005069EA">
            <w:pPr>
              <w:jc w:val="center"/>
              <w:rPr>
                <w:rFonts w:ascii="Times New Roman" w:hAnsi="Times New Roman" w:cs="Times New Roman"/>
                <w:sz w:val="22"/>
                <w:szCs w:val="22"/>
              </w:rPr>
            </w:pPr>
          </w:p>
        </w:tc>
        <w:tc>
          <w:tcPr>
            <w:tcW w:w="1128" w:type="dxa"/>
            <w:vAlign w:val="center"/>
          </w:tcPr>
          <w:p w14:paraId="537FA173" w14:textId="756124AF" w:rsidR="005069EA" w:rsidRPr="00787BFC" w:rsidRDefault="005069EA">
            <w:pPr>
              <w:jc w:val="center"/>
              <w:rPr>
                <w:rFonts w:ascii="Times New Roman" w:hAnsi="Times New Roman" w:cs="Times New Roman"/>
                <w:sz w:val="22"/>
                <w:szCs w:val="22"/>
                <w:lang w:val="en-US"/>
              </w:rPr>
            </w:pPr>
          </w:p>
        </w:tc>
        <w:tc>
          <w:tcPr>
            <w:tcW w:w="1128" w:type="dxa"/>
            <w:vAlign w:val="center"/>
          </w:tcPr>
          <w:p w14:paraId="6261946A" w14:textId="26A2727A" w:rsidR="005069EA" w:rsidRPr="00787BFC" w:rsidRDefault="005069EA">
            <w:pPr>
              <w:jc w:val="center"/>
              <w:rPr>
                <w:rFonts w:ascii="Times New Roman" w:hAnsi="Times New Roman" w:cs="Times New Roman"/>
                <w:sz w:val="22"/>
                <w:szCs w:val="22"/>
                <w:lang w:val="en-US"/>
              </w:rPr>
            </w:pPr>
          </w:p>
        </w:tc>
      </w:tr>
      <w:tr w:rsidR="005069EA" w:rsidRPr="00787BFC" w14:paraId="7881FC9A" w14:textId="77777777" w:rsidTr="00D82D0A">
        <w:trPr>
          <w:trHeight w:val="432"/>
        </w:trPr>
        <w:tc>
          <w:tcPr>
            <w:tcW w:w="1457" w:type="dxa"/>
            <w:vAlign w:val="center"/>
          </w:tcPr>
          <w:p w14:paraId="5063D67B" w14:textId="31CB2141" w:rsidR="005069EA" w:rsidRPr="00697B0E" w:rsidRDefault="005069EA" w:rsidP="006C42FB">
            <w:pPr>
              <w:rPr>
                <w:rFonts w:ascii="Times New Roman" w:hAnsi="Times New Roman" w:cs="Times New Roman"/>
                <w:sz w:val="18"/>
                <w:szCs w:val="22"/>
              </w:rPr>
            </w:pPr>
            <w:r w:rsidRPr="00697B0E">
              <w:rPr>
                <w:rFonts w:ascii="Times New Roman" w:hAnsi="Times New Roman" w:cs="Times New Roman"/>
                <w:sz w:val="18"/>
                <w:szCs w:val="22"/>
              </w:rPr>
              <w:t>Study questionnaire</w:t>
            </w:r>
          </w:p>
        </w:tc>
        <w:tc>
          <w:tcPr>
            <w:tcW w:w="1127" w:type="dxa"/>
            <w:vAlign w:val="center"/>
          </w:tcPr>
          <w:p w14:paraId="21281E6D" w14:textId="77777777" w:rsidR="005069EA" w:rsidRPr="00787BFC" w:rsidRDefault="005069EA" w:rsidP="00D82D0A">
            <w:pPr>
              <w:jc w:val="center"/>
              <w:rPr>
                <w:rFonts w:ascii="Times New Roman" w:hAnsi="Times New Roman" w:cs="Times New Roman"/>
                <w:sz w:val="22"/>
                <w:szCs w:val="22"/>
              </w:rPr>
            </w:pPr>
          </w:p>
        </w:tc>
        <w:tc>
          <w:tcPr>
            <w:tcW w:w="1128" w:type="dxa"/>
            <w:vAlign w:val="center"/>
          </w:tcPr>
          <w:p w14:paraId="1B240B19" w14:textId="2040C85F" w:rsidR="005069EA" w:rsidRDefault="005069EA" w:rsidP="00D82D0A">
            <w:pPr>
              <w:jc w:val="center"/>
              <w:rPr>
                <w:rFonts w:ascii="Times New Roman" w:hAnsi="Times New Roman" w:cs="Times New Roman"/>
                <w:sz w:val="22"/>
                <w:szCs w:val="22"/>
              </w:rPr>
            </w:pPr>
          </w:p>
        </w:tc>
        <w:tc>
          <w:tcPr>
            <w:tcW w:w="1127" w:type="dxa"/>
            <w:vAlign w:val="center"/>
          </w:tcPr>
          <w:p w14:paraId="50CA8D35" w14:textId="0B292787" w:rsidR="005069EA" w:rsidRDefault="005069EA" w:rsidP="00D82D0A">
            <w:pPr>
              <w:jc w:val="center"/>
              <w:rPr>
                <w:rFonts w:ascii="Times New Roman" w:hAnsi="Times New Roman" w:cs="Times New Roman"/>
                <w:sz w:val="22"/>
                <w:szCs w:val="22"/>
              </w:rPr>
            </w:pPr>
          </w:p>
        </w:tc>
        <w:tc>
          <w:tcPr>
            <w:tcW w:w="1128" w:type="dxa"/>
            <w:vAlign w:val="center"/>
          </w:tcPr>
          <w:p w14:paraId="0597FCE7" w14:textId="70539FC7" w:rsidR="005069EA" w:rsidRDefault="005069EA" w:rsidP="00F86B88">
            <w:pPr>
              <w:jc w:val="center"/>
              <w:rPr>
                <w:rFonts w:ascii="Times New Roman" w:hAnsi="Times New Roman" w:cs="Times New Roman"/>
                <w:sz w:val="22"/>
                <w:szCs w:val="22"/>
              </w:rPr>
            </w:pPr>
          </w:p>
        </w:tc>
        <w:tc>
          <w:tcPr>
            <w:tcW w:w="1127" w:type="dxa"/>
            <w:vAlign w:val="center"/>
          </w:tcPr>
          <w:p w14:paraId="49B88B37" w14:textId="54FE3B75" w:rsidR="005069EA" w:rsidRDefault="005069EA">
            <w:pPr>
              <w:jc w:val="center"/>
              <w:rPr>
                <w:rFonts w:ascii="Times New Roman" w:hAnsi="Times New Roman" w:cs="Times New Roman"/>
                <w:sz w:val="22"/>
                <w:szCs w:val="22"/>
              </w:rPr>
            </w:pPr>
            <w:r>
              <w:rPr>
                <w:rFonts w:ascii="Times New Roman" w:hAnsi="Times New Roman" w:cs="Times New Roman"/>
                <w:sz w:val="22"/>
                <w:szCs w:val="22"/>
              </w:rPr>
              <w:t>x</w:t>
            </w:r>
          </w:p>
        </w:tc>
        <w:tc>
          <w:tcPr>
            <w:tcW w:w="1128" w:type="dxa"/>
            <w:vAlign w:val="center"/>
          </w:tcPr>
          <w:p w14:paraId="32CDEACF" w14:textId="0674CBBB" w:rsidR="005069EA" w:rsidRDefault="005069EA">
            <w:pPr>
              <w:jc w:val="center"/>
              <w:rPr>
                <w:rFonts w:ascii="Times New Roman" w:hAnsi="Times New Roman" w:cs="Times New Roman"/>
                <w:sz w:val="22"/>
                <w:szCs w:val="22"/>
              </w:rPr>
            </w:pPr>
            <w:r>
              <w:rPr>
                <w:rFonts w:ascii="Times New Roman" w:hAnsi="Times New Roman" w:cs="Times New Roman"/>
                <w:sz w:val="22"/>
                <w:szCs w:val="22"/>
                <w:lang w:val="en-US"/>
              </w:rPr>
              <w:t>x</w:t>
            </w:r>
          </w:p>
        </w:tc>
        <w:tc>
          <w:tcPr>
            <w:tcW w:w="1128" w:type="dxa"/>
            <w:vAlign w:val="center"/>
          </w:tcPr>
          <w:p w14:paraId="20B5C637" w14:textId="357C57B2" w:rsidR="005069EA" w:rsidRDefault="005069EA">
            <w:pPr>
              <w:jc w:val="center"/>
              <w:rPr>
                <w:rFonts w:ascii="Times New Roman" w:hAnsi="Times New Roman" w:cs="Times New Roman"/>
                <w:sz w:val="22"/>
                <w:szCs w:val="22"/>
              </w:rPr>
            </w:pPr>
            <w:r>
              <w:rPr>
                <w:rFonts w:ascii="Times New Roman" w:hAnsi="Times New Roman" w:cs="Times New Roman"/>
                <w:sz w:val="22"/>
                <w:szCs w:val="22"/>
                <w:lang w:val="en-US"/>
              </w:rPr>
              <w:t>x</w:t>
            </w:r>
          </w:p>
        </w:tc>
      </w:tr>
      <w:tr w:rsidR="005069EA" w:rsidRPr="00787BFC" w14:paraId="30E9DB7D" w14:textId="77777777" w:rsidTr="00D82D0A">
        <w:trPr>
          <w:trHeight w:val="432"/>
        </w:trPr>
        <w:tc>
          <w:tcPr>
            <w:tcW w:w="1457" w:type="dxa"/>
            <w:vAlign w:val="center"/>
          </w:tcPr>
          <w:p w14:paraId="11EC4B1C" w14:textId="44DE2548" w:rsidR="005069EA" w:rsidRPr="00697B0E" w:rsidRDefault="00FF7C8D" w:rsidP="006C42FB">
            <w:pPr>
              <w:rPr>
                <w:rFonts w:ascii="Times New Roman" w:hAnsi="Times New Roman" w:cs="Times New Roman"/>
                <w:sz w:val="18"/>
                <w:szCs w:val="22"/>
              </w:rPr>
            </w:pPr>
            <w:r>
              <w:rPr>
                <w:rFonts w:ascii="Times New Roman" w:hAnsi="Times New Roman" w:cs="Times New Roman"/>
                <w:sz w:val="18"/>
                <w:szCs w:val="22"/>
              </w:rPr>
              <w:t xml:space="preserve">Humoral </w:t>
            </w:r>
            <w:r w:rsidR="005069EA" w:rsidRPr="00697B0E">
              <w:rPr>
                <w:rFonts w:ascii="Times New Roman" w:hAnsi="Times New Roman" w:cs="Times New Roman"/>
                <w:sz w:val="18"/>
                <w:szCs w:val="22"/>
              </w:rPr>
              <w:t>testing</w:t>
            </w:r>
            <w:r>
              <w:rPr>
                <w:rFonts w:ascii="Times New Roman" w:hAnsi="Times New Roman" w:cs="Times New Roman"/>
                <w:sz w:val="18"/>
                <w:szCs w:val="22"/>
              </w:rPr>
              <w:t xml:space="preserve"> for main study</w:t>
            </w:r>
          </w:p>
        </w:tc>
        <w:tc>
          <w:tcPr>
            <w:tcW w:w="1127" w:type="dxa"/>
            <w:vAlign w:val="center"/>
          </w:tcPr>
          <w:p w14:paraId="310A2BD8" w14:textId="45DCAAB7" w:rsidR="005069EA" w:rsidRPr="00787BFC" w:rsidRDefault="005069EA" w:rsidP="00D82D0A">
            <w:pPr>
              <w:jc w:val="center"/>
              <w:rPr>
                <w:rFonts w:ascii="Times New Roman" w:hAnsi="Times New Roman" w:cs="Times New Roman"/>
                <w:sz w:val="22"/>
                <w:szCs w:val="22"/>
              </w:rPr>
            </w:pPr>
            <w:r>
              <w:rPr>
                <w:rFonts w:ascii="Times New Roman" w:hAnsi="Times New Roman" w:cs="Times New Roman"/>
                <w:sz w:val="22"/>
                <w:szCs w:val="22"/>
              </w:rPr>
              <w:t>x</w:t>
            </w:r>
          </w:p>
        </w:tc>
        <w:tc>
          <w:tcPr>
            <w:tcW w:w="1128" w:type="dxa"/>
            <w:vAlign w:val="center"/>
          </w:tcPr>
          <w:p w14:paraId="6E40B98F" w14:textId="3D8DF5BD" w:rsidR="005069EA" w:rsidRPr="00787BFC" w:rsidRDefault="005069EA" w:rsidP="00D82D0A">
            <w:pPr>
              <w:jc w:val="center"/>
              <w:rPr>
                <w:rFonts w:ascii="Times New Roman" w:hAnsi="Times New Roman" w:cs="Times New Roman"/>
                <w:sz w:val="22"/>
                <w:szCs w:val="22"/>
              </w:rPr>
            </w:pPr>
            <w:r>
              <w:rPr>
                <w:rFonts w:ascii="Times New Roman" w:hAnsi="Times New Roman" w:cs="Times New Roman"/>
                <w:sz w:val="22"/>
                <w:szCs w:val="22"/>
              </w:rPr>
              <w:t>x</w:t>
            </w:r>
          </w:p>
        </w:tc>
        <w:tc>
          <w:tcPr>
            <w:tcW w:w="1127" w:type="dxa"/>
            <w:vAlign w:val="center"/>
          </w:tcPr>
          <w:p w14:paraId="441B96B7" w14:textId="0A19238A" w:rsidR="005069EA" w:rsidRDefault="005069EA" w:rsidP="00D82D0A">
            <w:pPr>
              <w:jc w:val="center"/>
              <w:rPr>
                <w:rFonts w:ascii="Times New Roman" w:hAnsi="Times New Roman" w:cs="Times New Roman"/>
                <w:sz w:val="22"/>
                <w:szCs w:val="22"/>
              </w:rPr>
            </w:pPr>
            <w:r>
              <w:rPr>
                <w:rFonts w:ascii="Times New Roman" w:hAnsi="Times New Roman" w:cs="Times New Roman"/>
                <w:sz w:val="22"/>
                <w:szCs w:val="22"/>
              </w:rPr>
              <w:t>x</w:t>
            </w:r>
          </w:p>
        </w:tc>
        <w:tc>
          <w:tcPr>
            <w:tcW w:w="1128" w:type="dxa"/>
            <w:vAlign w:val="center"/>
          </w:tcPr>
          <w:p w14:paraId="7171B661" w14:textId="01750A60" w:rsidR="005069EA" w:rsidRPr="00787BFC" w:rsidRDefault="005069EA" w:rsidP="00F86B88">
            <w:pPr>
              <w:jc w:val="center"/>
              <w:rPr>
                <w:rFonts w:ascii="Times New Roman" w:hAnsi="Times New Roman" w:cs="Times New Roman"/>
                <w:sz w:val="22"/>
                <w:szCs w:val="22"/>
              </w:rPr>
            </w:pPr>
            <w:r>
              <w:rPr>
                <w:rFonts w:ascii="Times New Roman" w:hAnsi="Times New Roman" w:cs="Times New Roman"/>
                <w:sz w:val="22"/>
                <w:szCs w:val="22"/>
              </w:rPr>
              <w:t>x</w:t>
            </w:r>
          </w:p>
        </w:tc>
        <w:tc>
          <w:tcPr>
            <w:tcW w:w="1127" w:type="dxa"/>
            <w:vAlign w:val="center"/>
          </w:tcPr>
          <w:p w14:paraId="6AF16EDF" w14:textId="4CD83891" w:rsidR="005069EA" w:rsidRDefault="005069EA">
            <w:pPr>
              <w:jc w:val="center"/>
              <w:rPr>
                <w:rFonts w:ascii="Times New Roman" w:hAnsi="Times New Roman" w:cs="Times New Roman"/>
                <w:sz w:val="22"/>
                <w:szCs w:val="22"/>
              </w:rPr>
            </w:pPr>
            <w:r>
              <w:rPr>
                <w:rFonts w:ascii="Times New Roman" w:hAnsi="Times New Roman" w:cs="Times New Roman"/>
                <w:sz w:val="22"/>
                <w:szCs w:val="22"/>
              </w:rPr>
              <w:t>x</w:t>
            </w:r>
          </w:p>
        </w:tc>
        <w:tc>
          <w:tcPr>
            <w:tcW w:w="1128" w:type="dxa"/>
            <w:vAlign w:val="center"/>
          </w:tcPr>
          <w:p w14:paraId="326EA784" w14:textId="47C1A55B" w:rsidR="005069EA" w:rsidRPr="00787BFC" w:rsidRDefault="005069EA">
            <w:pPr>
              <w:jc w:val="center"/>
              <w:rPr>
                <w:rFonts w:ascii="Times New Roman" w:hAnsi="Times New Roman" w:cs="Times New Roman"/>
                <w:sz w:val="22"/>
                <w:szCs w:val="22"/>
              </w:rPr>
            </w:pPr>
            <w:r>
              <w:rPr>
                <w:rFonts w:ascii="Times New Roman" w:hAnsi="Times New Roman" w:cs="Times New Roman"/>
                <w:sz w:val="22"/>
                <w:szCs w:val="22"/>
              </w:rPr>
              <w:t>x</w:t>
            </w:r>
          </w:p>
        </w:tc>
        <w:tc>
          <w:tcPr>
            <w:tcW w:w="1128" w:type="dxa"/>
            <w:vAlign w:val="center"/>
          </w:tcPr>
          <w:p w14:paraId="5A1D4B98" w14:textId="7E117421" w:rsidR="005069EA" w:rsidRPr="00787BFC" w:rsidRDefault="005069EA">
            <w:pPr>
              <w:jc w:val="center"/>
              <w:rPr>
                <w:rFonts w:ascii="Times New Roman" w:hAnsi="Times New Roman" w:cs="Times New Roman"/>
                <w:sz w:val="22"/>
                <w:szCs w:val="22"/>
              </w:rPr>
            </w:pPr>
            <w:r>
              <w:rPr>
                <w:rFonts w:ascii="Times New Roman" w:hAnsi="Times New Roman" w:cs="Times New Roman"/>
                <w:sz w:val="22"/>
                <w:szCs w:val="22"/>
              </w:rPr>
              <w:t>x</w:t>
            </w:r>
          </w:p>
        </w:tc>
      </w:tr>
      <w:tr w:rsidR="005069EA" w:rsidRPr="00787BFC" w14:paraId="1627AE0D" w14:textId="77777777" w:rsidTr="00D82D0A">
        <w:trPr>
          <w:trHeight w:val="432"/>
        </w:trPr>
        <w:tc>
          <w:tcPr>
            <w:tcW w:w="1457" w:type="dxa"/>
            <w:vAlign w:val="center"/>
          </w:tcPr>
          <w:p w14:paraId="1F7FCA01" w14:textId="194920B0" w:rsidR="005069EA" w:rsidRPr="00697B0E" w:rsidRDefault="00FF7C8D" w:rsidP="006C42FB">
            <w:pPr>
              <w:rPr>
                <w:rFonts w:ascii="Times New Roman" w:hAnsi="Times New Roman" w:cs="Times New Roman"/>
                <w:sz w:val="18"/>
                <w:szCs w:val="22"/>
              </w:rPr>
            </w:pPr>
            <w:r>
              <w:rPr>
                <w:rFonts w:ascii="Times New Roman" w:hAnsi="Times New Roman" w:cs="Times New Roman"/>
                <w:sz w:val="18"/>
                <w:szCs w:val="22"/>
              </w:rPr>
              <w:t>T-cell testing for</w:t>
            </w:r>
            <w:r w:rsidR="005069EA" w:rsidRPr="00697B0E">
              <w:rPr>
                <w:rFonts w:ascii="Times New Roman" w:hAnsi="Times New Roman" w:cs="Times New Roman"/>
                <w:sz w:val="18"/>
                <w:szCs w:val="22"/>
              </w:rPr>
              <w:t xml:space="preserve"> sub study </w:t>
            </w:r>
          </w:p>
        </w:tc>
        <w:tc>
          <w:tcPr>
            <w:tcW w:w="1127" w:type="dxa"/>
            <w:vAlign w:val="center"/>
          </w:tcPr>
          <w:p w14:paraId="04754A3B" w14:textId="2693210F" w:rsidR="005069EA" w:rsidRDefault="005069EA" w:rsidP="00D82D0A">
            <w:pPr>
              <w:jc w:val="center"/>
              <w:rPr>
                <w:rFonts w:ascii="Times New Roman" w:hAnsi="Times New Roman" w:cs="Times New Roman"/>
                <w:sz w:val="22"/>
                <w:szCs w:val="22"/>
              </w:rPr>
            </w:pPr>
            <w:r>
              <w:rPr>
                <w:rFonts w:ascii="Times New Roman" w:hAnsi="Times New Roman" w:cs="Times New Roman"/>
                <w:sz w:val="22"/>
                <w:szCs w:val="22"/>
              </w:rPr>
              <w:t>x</w:t>
            </w:r>
          </w:p>
        </w:tc>
        <w:tc>
          <w:tcPr>
            <w:tcW w:w="1128" w:type="dxa"/>
            <w:vAlign w:val="center"/>
          </w:tcPr>
          <w:p w14:paraId="22AD5FF3" w14:textId="7567FB3C" w:rsidR="005069EA" w:rsidRDefault="005069EA" w:rsidP="00D82D0A">
            <w:pPr>
              <w:jc w:val="center"/>
              <w:rPr>
                <w:rFonts w:ascii="Times New Roman" w:hAnsi="Times New Roman" w:cs="Times New Roman"/>
                <w:sz w:val="22"/>
                <w:szCs w:val="22"/>
              </w:rPr>
            </w:pPr>
            <w:r>
              <w:rPr>
                <w:rFonts w:ascii="Times New Roman" w:hAnsi="Times New Roman" w:cs="Times New Roman"/>
                <w:sz w:val="22"/>
                <w:szCs w:val="22"/>
              </w:rPr>
              <w:t>x</w:t>
            </w:r>
          </w:p>
        </w:tc>
        <w:tc>
          <w:tcPr>
            <w:tcW w:w="1127" w:type="dxa"/>
            <w:vAlign w:val="center"/>
          </w:tcPr>
          <w:p w14:paraId="7046AEB0" w14:textId="77777777" w:rsidR="005069EA" w:rsidRDefault="005069EA" w:rsidP="00D82D0A">
            <w:pPr>
              <w:jc w:val="center"/>
              <w:rPr>
                <w:rFonts w:ascii="Times New Roman" w:hAnsi="Times New Roman" w:cs="Times New Roman"/>
                <w:sz w:val="22"/>
                <w:szCs w:val="22"/>
              </w:rPr>
            </w:pPr>
          </w:p>
        </w:tc>
        <w:tc>
          <w:tcPr>
            <w:tcW w:w="1128" w:type="dxa"/>
            <w:vAlign w:val="center"/>
          </w:tcPr>
          <w:p w14:paraId="62A885BB" w14:textId="311E353E" w:rsidR="005069EA" w:rsidRDefault="005069EA" w:rsidP="00F86B88">
            <w:pPr>
              <w:jc w:val="center"/>
              <w:rPr>
                <w:rFonts w:ascii="Times New Roman" w:hAnsi="Times New Roman" w:cs="Times New Roman"/>
                <w:sz w:val="22"/>
                <w:szCs w:val="22"/>
              </w:rPr>
            </w:pPr>
            <w:r>
              <w:rPr>
                <w:rFonts w:ascii="Times New Roman" w:hAnsi="Times New Roman" w:cs="Times New Roman"/>
                <w:sz w:val="22"/>
                <w:szCs w:val="22"/>
              </w:rPr>
              <w:t>x</w:t>
            </w:r>
          </w:p>
        </w:tc>
        <w:tc>
          <w:tcPr>
            <w:tcW w:w="1127" w:type="dxa"/>
            <w:vAlign w:val="center"/>
          </w:tcPr>
          <w:p w14:paraId="21B4051E" w14:textId="77777777" w:rsidR="005069EA" w:rsidRDefault="005069EA">
            <w:pPr>
              <w:jc w:val="center"/>
              <w:rPr>
                <w:rFonts w:ascii="Times New Roman" w:hAnsi="Times New Roman" w:cs="Times New Roman"/>
                <w:sz w:val="22"/>
                <w:szCs w:val="22"/>
              </w:rPr>
            </w:pPr>
          </w:p>
        </w:tc>
        <w:tc>
          <w:tcPr>
            <w:tcW w:w="1128" w:type="dxa"/>
            <w:vAlign w:val="center"/>
          </w:tcPr>
          <w:p w14:paraId="761F3112" w14:textId="7013AD45" w:rsidR="005069EA" w:rsidRDefault="004308A3">
            <w:pPr>
              <w:jc w:val="center"/>
              <w:rPr>
                <w:rFonts w:ascii="Times New Roman" w:hAnsi="Times New Roman" w:cs="Times New Roman"/>
                <w:sz w:val="22"/>
                <w:szCs w:val="22"/>
              </w:rPr>
            </w:pPr>
            <w:r>
              <w:rPr>
                <w:rFonts w:ascii="Times New Roman" w:hAnsi="Times New Roman" w:cs="Times New Roman"/>
                <w:sz w:val="22"/>
                <w:szCs w:val="22"/>
              </w:rPr>
              <w:t>x</w:t>
            </w:r>
          </w:p>
        </w:tc>
        <w:tc>
          <w:tcPr>
            <w:tcW w:w="1128" w:type="dxa"/>
            <w:vAlign w:val="center"/>
          </w:tcPr>
          <w:p w14:paraId="25AA6D16" w14:textId="77777777" w:rsidR="005069EA" w:rsidRDefault="005069EA">
            <w:pPr>
              <w:jc w:val="center"/>
              <w:rPr>
                <w:rFonts w:ascii="Times New Roman" w:hAnsi="Times New Roman" w:cs="Times New Roman"/>
                <w:sz w:val="22"/>
                <w:szCs w:val="22"/>
              </w:rPr>
            </w:pPr>
          </w:p>
        </w:tc>
      </w:tr>
    </w:tbl>
    <w:p w14:paraId="55242B88" w14:textId="7CDFD307" w:rsidR="007562B0" w:rsidRPr="00A63577" w:rsidRDefault="006C42FB" w:rsidP="007562B0">
      <w:pPr>
        <w:rPr>
          <w:rFonts w:ascii="Times New Roman" w:hAnsi="Times New Roman" w:cs="Times New Roman"/>
          <w:sz w:val="14"/>
          <w:szCs w:val="14"/>
        </w:rPr>
      </w:pPr>
      <w:r w:rsidRPr="00A63577">
        <w:rPr>
          <w:rFonts w:ascii="Times New Roman" w:hAnsi="Times New Roman" w:cs="Times New Roman"/>
          <w:sz w:val="14"/>
          <w:szCs w:val="14"/>
          <w:vertAlign w:val="superscript"/>
        </w:rPr>
        <w:t>1</w:t>
      </w:r>
      <w:r w:rsidR="007562B0" w:rsidRPr="00A63577">
        <w:rPr>
          <w:rFonts w:ascii="Times New Roman" w:hAnsi="Times New Roman" w:cs="Times New Roman"/>
          <w:sz w:val="14"/>
          <w:szCs w:val="14"/>
        </w:rPr>
        <w:t xml:space="preserve"> For vaccines with </w:t>
      </w:r>
      <w:r w:rsidR="00940656" w:rsidRPr="00A63577">
        <w:rPr>
          <w:rFonts w:ascii="Times New Roman" w:hAnsi="Times New Roman" w:cs="Times New Roman"/>
          <w:sz w:val="14"/>
          <w:szCs w:val="14"/>
        </w:rPr>
        <w:t>1</w:t>
      </w:r>
      <w:r w:rsidR="007562B0" w:rsidRPr="00A63577">
        <w:rPr>
          <w:rFonts w:ascii="Times New Roman" w:hAnsi="Times New Roman" w:cs="Times New Roman"/>
          <w:sz w:val="14"/>
          <w:szCs w:val="14"/>
        </w:rPr>
        <w:t xml:space="preserve"> intended dose, this will be performed after receiving first</w:t>
      </w:r>
      <w:r w:rsidR="00940656" w:rsidRPr="00A63577">
        <w:rPr>
          <w:rFonts w:ascii="Times New Roman" w:hAnsi="Times New Roman" w:cs="Times New Roman"/>
          <w:sz w:val="14"/>
          <w:szCs w:val="14"/>
        </w:rPr>
        <w:t>/final</w:t>
      </w:r>
      <w:r w:rsidR="007562B0" w:rsidRPr="00A63577">
        <w:rPr>
          <w:rFonts w:ascii="Times New Roman" w:hAnsi="Times New Roman" w:cs="Times New Roman"/>
          <w:sz w:val="14"/>
          <w:szCs w:val="14"/>
        </w:rPr>
        <w:t xml:space="preserve"> dose of vaccine</w:t>
      </w:r>
    </w:p>
    <w:p w14:paraId="1FF0948E" w14:textId="31AFBC37" w:rsidR="00940656" w:rsidRPr="00524984" w:rsidRDefault="00940656" w:rsidP="007562B0">
      <w:pPr>
        <w:rPr>
          <w:rFonts w:ascii="Times New Roman" w:hAnsi="Times New Roman" w:cs="Times New Roman"/>
          <w:sz w:val="14"/>
          <w:szCs w:val="14"/>
        </w:rPr>
      </w:pPr>
      <w:r w:rsidRPr="00524984">
        <w:rPr>
          <w:rFonts w:ascii="Times New Roman" w:hAnsi="Times New Roman" w:cs="Times New Roman"/>
          <w:sz w:val="14"/>
          <w:szCs w:val="14"/>
          <w:vertAlign w:val="superscript"/>
        </w:rPr>
        <w:t>2</w:t>
      </w:r>
      <w:r w:rsidR="00A63577" w:rsidRPr="00524984">
        <w:rPr>
          <w:rFonts w:ascii="Times New Roman" w:hAnsi="Times New Roman" w:cs="Times New Roman"/>
          <w:sz w:val="14"/>
          <w:szCs w:val="14"/>
        </w:rPr>
        <w:t xml:space="preserve"> </w:t>
      </w:r>
      <w:r w:rsidRPr="00524984">
        <w:rPr>
          <w:rFonts w:ascii="Times New Roman" w:hAnsi="Times New Roman" w:cs="Times New Roman"/>
          <w:sz w:val="14"/>
          <w:szCs w:val="14"/>
        </w:rPr>
        <w:t>Only the participants who will be receiving the second dose 9+ weeks after the first dose</w:t>
      </w:r>
    </w:p>
    <w:p w14:paraId="55B37EB3" w14:textId="04FB2943" w:rsidR="00BE0FBB" w:rsidRDefault="00A63577" w:rsidP="00524984">
      <w:pPr>
        <w:rPr>
          <w:rFonts w:ascii="Times New Roman" w:hAnsi="Times New Roman" w:cs="Times New Roman"/>
          <w:sz w:val="16"/>
          <w:szCs w:val="16"/>
        </w:rPr>
      </w:pPr>
      <w:r w:rsidRPr="00A63577">
        <w:rPr>
          <w:rFonts w:ascii="Times New Roman" w:hAnsi="Times New Roman" w:cs="Times New Roman"/>
          <w:sz w:val="14"/>
          <w:szCs w:val="14"/>
          <w:vertAlign w:val="superscript"/>
        </w:rPr>
        <w:t xml:space="preserve">3 </w:t>
      </w:r>
      <w:r w:rsidRPr="00A63577">
        <w:rPr>
          <w:rFonts w:ascii="Times New Roman" w:hAnsi="Times New Roman" w:cs="Times New Roman"/>
          <w:sz w:val="14"/>
          <w:szCs w:val="14"/>
        </w:rPr>
        <w:t>Only completed if antibody response is detected in the 3(±1) months lab draw</w:t>
      </w:r>
    </w:p>
    <w:p w14:paraId="6D5ED8D8" w14:textId="592CFF05" w:rsidR="00FF7C8D" w:rsidRDefault="00FF7C8D" w:rsidP="00405AEC">
      <w:pPr>
        <w:rPr>
          <w:rFonts w:ascii="Times New Roman" w:hAnsi="Times New Roman" w:cs="Times New Roman"/>
          <w:sz w:val="16"/>
          <w:szCs w:val="16"/>
        </w:rPr>
      </w:pPr>
    </w:p>
    <w:p w14:paraId="2E4040B4" w14:textId="77777777" w:rsidR="00BE0FBB" w:rsidRPr="00A72F73" w:rsidRDefault="00BE0FBB" w:rsidP="00405AEC">
      <w:pPr>
        <w:rPr>
          <w:rFonts w:ascii="Times New Roman" w:hAnsi="Times New Roman" w:cs="Times New Roman"/>
          <w:sz w:val="16"/>
          <w:szCs w:val="16"/>
        </w:rPr>
      </w:pPr>
    </w:p>
    <w:p w14:paraId="333BCE48" w14:textId="326A975A" w:rsidR="00567BE8" w:rsidRDefault="00B01D92" w:rsidP="00F86B88">
      <w:pPr>
        <w:pStyle w:val="Heading2"/>
        <w:rPr>
          <w:lang w:val="en-CA"/>
        </w:rPr>
      </w:pPr>
      <w:r>
        <w:rPr>
          <w:lang w:val="en-CA"/>
        </w:rPr>
        <w:lastRenderedPageBreak/>
        <w:t xml:space="preserve">Study </w:t>
      </w:r>
      <w:r w:rsidR="00DB262F" w:rsidRPr="00CD384F">
        <w:rPr>
          <w:lang w:val="en-CA"/>
        </w:rPr>
        <w:t>Method</w:t>
      </w:r>
      <w:r w:rsidR="00D004EA">
        <w:rPr>
          <w:lang w:val="en-CA"/>
        </w:rPr>
        <w:t>s</w:t>
      </w:r>
    </w:p>
    <w:p w14:paraId="772AA7D5" w14:textId="77777777" w:rsidR="00D004EA" w:rsidRPr="00F86B88" w:rsidRDefault="00D004EA" w:rsidP="00D004EA">
      <w:pPr>
        <w:jc w:val="both"/>
        <w:rPr>
          <w:rFonts w:ascii="Times New Roman" w:hAnsi="Times New Roman" w:cs="Times New Roman"/>
          <w:b/>
          <w:bCs/>
          <w:sz w:val="22"/>
          <w:szCs w:val="22"/>
          <w:lang w:val="en-CA"/>
        </w:rPr>
      </w:pPr>
      <w:r w:rsidRPr="00F86B88">
        <w:rPr>
          <w:rFonts w:ascii="Times New Roman" w:hAnsi="Times New Roman" w:cs="Times New Roman"/>
          <w:b/>
          <w:bCs/>
          <w:sz w:val="22"/>
          <w:szCs w:val="22"/>
          <w:lang w:val="en-CA"/>
        </w:rPr>
        <w:t>Inclusion Criteria:</w:t>
      </w:r>
    </w:p>
    <w:p w14:paraId="230341B8" w14:textId="4541F04D" w:rsidR="008F1C48" w:rsidRDefault="00D004EA" w:rsidP="00D004EA">
      <w:pPr>
        <w:jc w:val="both"/>
        <w:rPr>
          <w:rFonts w:ascii="Times New Roman" w:hAnsi="Times New Roman" w:cs="Times New Roman"/>
          <w:sz w:val="22"/>
          <w:szCs w:val="22"/>
          <w:lang w:val="en-CA"/>
        </w:rPr>
      </w:pPr>
      <w:r>
        <w:rPr>
          <w:rFonts w:ascii="Times New Roman" w:hAnsi="Times New Roman" w:cs="Times New Roman"/>
          <w:sz w:val="22"/>
          <w:szCs w:val="22"/>
          <w:lang w:val="en-CA"/>
        </w:rPr>
        <w:t xml:space="preserve">1. </w:t>
      </w:r>
      <w:r w:rsidR="008F1C48">
        <w:rPr>
          <w:rFonts w:ascii="Times New Roman" w:hAnsi="Times New Roman" w:cs="Times New Roman"/>
          <w:sz w:val="22"/>
          <w:szCs w:val="22"/>
          <w:lang w:val="en-CA"/>
        </w:rPr>
        <w:t xml:space="preserve">Adults </w:t>
      </w:r>
      <w:r w:rsidR="008F1C48">
        <w:rPr>
          <w:rFonts w:ascii="Calibri" w:hAnsi="Calibri" w:cs="Calibri"/>
          <w:sz w:val="22"/>
          <w:szCs w:val="22"/>
          <w:lang w:val="en-CA"/>
        </w:rPr>
        <w:t>≥</w:t>
      </w:r>
      <w:r w:rsidR="008F1C48">
        <w:rPr>
          <w:rFonts w:ascii="Times New Roman" w:hAnsi="Times New Roman" w:cs="Times New Roman"/>
          <w:sz w:val="22"/>
          <w:szCs w:val="22"/>
          <w:lang w:val="en-CA"/>
        </w:rPr>
        <w:t xml:space="preserve"> 18 years</w:t>
      </w:r>
    </w:p>
    <w:p w14:paraId="733DDE07" w14:textId="77777777" w:rsidR="00D260AF" w:rsidRPr="00D260AF" w:rsidRDefault="008F1C48" w:rsidP="00D260AF">
      <w:pPr>
        <w:jc w:val="both"/>
        <w:rPr>
          <w:rFonts w:ascii="Times New Roman" w:hAnsi="Times New Roman" w:cs="Times New Roman"/>
          <w:sz w:val="22"/>
          <w:szCs w:val="22"/>
          <w:lang w:val="en-CA"/>
        </w:rPr>
      </w:pPr>
      <w:r>
        <w:rPr>
          <w:rFonts w:ascii="Times New Roman" w:hAnsi="Times New Roman" w:cs="Times New Roman"/>
          <w:sz w:val="22"/>
          <w:szCs w:val="22"/>
          <w:lang w:val="en-CA"/>
        </w:rPr>
        <w:t xml:space="preserve">2. </w:t>
      </w:r>
      <w:r w:rsidR="00D260AF" w:rsidRPr="00D260AF">
        <w:rPr>
          <w:rFonts w:ascii="Times New Roman" w:hAnsi="Times New Roman" w:cs="Times New Roman"/>
          <w:sz w:val="22"/>
          <w:szCs w:val="22"/>
          <w:lang w:val="en-CA"/>
        </w:rPr>
        <w:t xml:space="preserve">Patients being seen at the LRCP with a hematological malignancy </w:t>
      </w:r>
    </w:p>
    <w:p w14:paraId="3E5EAA51" w14:textId="2C3B474A" w:rsidR="00D004EA" w:rsidRDefault="00D260AF" w:rsidP="00D004EA">
      <w:pPr>
        <w:jc w:val="both"/>
        <w:rPr>
          <w:rFonts w:ascii="Times New Roman" w:hAnsi="Times New Roman" w:cs="Times New Roman"/>
          <w:sz w:val="22"/>
          <w:szCs w:val="22"/>
          <w:lang w:val="en-CA"/>
        </w:rPr>
      </w:pPr>
      <w:r>
        <w:rPr>
          <w:rFonts w:ascii="Times New Roman" w:hAnsi="Times New Roman" w:cs="Times New Roman"/>
          <w:sz w:val="22"/>
          <w:szCs w:val="22"/>
          <w:lang w:val="en-CA"/>
        </w:rPr>
        <w:t xml:space="preserve">3. </w:t>
      </w:r>
      <w:r w:rsidRPr="00D260AF">
        <w:rPr>
          <w:rFonts w:ascii="Times New Roman" w:hAnsi="Times New Roman" w:cs="Times New Roman"/>
          <w:sz w:val="22"/>
          <w:szCs w:val="22"/>
          <w:lang w:val="en-CA"/>
        </w:rPr>
        <w:t xml:space="preserve">Ability to provide signed and dated informed consent </w:t>
      </w:r>
    </w:p>
    <w:p w14:paraId="7E379724" w14:textId="77777777" w:rsidR="00D260AF" w:rsidRDefault="00D260AF" w:rsidP="00D004EA">
      <w:pPr>
        <w:jc w:val="both"/>
        <w:rPr>
          <w:rFonts w:ascii="Times New Roman" w:hAnsi="Times New Roman" w:cs="Times New Roman"/>
          <w:sz w:val="22"/>
          <w:szCs w:val="22"/>
          <w:lang w:val="en-CA"/>
        </w:rPr>
      </w:pPr>
    </w:p>
    <w:p w14:paraId="50B8BE71" w14:textId="77777777" w:rsidR="00D004EA" w:rsidRPr="00F86B88" w:rsidRDefault="00D004EA" w:rsidP="00D004EA">
      <w:pPr>
        <w:jc w:val="both"/>
        <w:rPr>
          <w:rFonts w:ascii="Times New Roman" w:hAnsi="Times New Roman" w:cs="Times New Roman"/>
          <w:b/>
          <w:bCs/>
          <w:sz w:val="22"/>
          <w:szCs w:val="22"/>
          <w:lang w:val="en-CA"/>
        </w:rPr>
      </w:pPr>
      <w:r w:rsidRPr="00F86B88">
        <w:rPr>
          <w:rFonts w:ascii="Times New Roman" w:hAnsi="Times New Roman" w:cs="Times New Roman"/>
          <w:b/>
          <w:bCs/>
          <w:sz w:val="22"/>
          <w:szCs w:val="22"/>
          <w:lang w:val="en-CA"/>
        </w:rPr>
        <w:t>Exclusion Criteria:</w:t>
      </w:r>
    </w:p>
    <w:p w14:paraId="5A6EC6CC" w14:textId="57102E9D" w:rsidR="00D004EA" w:rsidRDefault="00D004EA" w:rsidP="00D004EA">
      <w:pPr>
        <w:jc w:val="both"/>
        <w:rPr>
          <w:rFonts w:ascii="Times New Roman" w:hAnsi="Times New Roman" w:cs="Times New Roman"/>
          <w:sz w:val="22"/>
          <w:szCs w:val="22"/>
          <w:lang w:val="en-CA"/>
        </w:rPr>
      </w:pPr>
      <w:r>
        <w:rPr>
          <w:rFonts w:ascii="Times New Roman" w:hAnsi="Times New Roman" w:cs="Times New Roman"/>
          <w:sz w:val="22"/>
          <w:szCs w:val="22"/>
          <w:lang w:val="en-CA"/>
        </w:rPr>
        <w:t xml:space="preserve">1. </w:t>
      </w:r>
      <w:r w:rsidR="000C0DC1" w:rsidRPr="000C0DC1">
        <w:rPr>
          <w:rFonts w:ascii="Times New Roman" w:hAnsi="Times New Roman" w:cs="Times New Roman"/>
          <w:sz w:val="22"/>
          <w:szCs w:val="22"/>
          <w:lang w:val="en-CA"/>
        </w:rPr>
        <w:t>Individual un</w:t>
      </w:r>
      <w:r w:rsidR="00777902">
        <w:rPr>
          <w:rFonts w:ascii="Times New Roman" w:hAnsi="Times New Roman" w:cs="Times New Roman"/>
          <w:sz w:val="22"/>
          <w:szCs w:val="22"/>
          <w:lang w:val="en-CA"/>
        </w:rPr>
        <w:t>willing</w:t>
      </w:r>
      <w:r w:rsidR="000C0DC1" w:rsidRPr="000C0DC1">
        <w:rPr>
          <w:rFonts w:ascii="Times New Roman" w:hAnsi="Times New Roman" w:cs="Times New Roman"/>
          <w:sz w:val="22"/>
          <w:szCs w:val="22"/>
          <w:lang w:val="en-CA"/>
        </w:rPr>
        <w:t xml:space="preserve"> to provide informed consent</w:t>
      </w:r>
    </w:p>
    <w:p w14:paraId="448BEE78" w14:textId="1725D51A" w:rsidR="000C0DC1" w:rsidRDefault="00EC4AB2" w:rsidP="00D004EA">
      <w:pPr>
        <w:jc w:val="both"/>
        <w:rPr>
          <w:rFonts w:ascii="Times New Roman" w:hAnsi="Times New Roman" w:cs="Times New Roman"/>
          <w:sz w:val="22"/>
          <w:szCs w:val="22"/>
          <w:lang w:val="en-CA"/>
        </w:rPr>
      </w:pPr>
      <w:r>
        <w:rPr>
          <w:rFonts w:ascii="Times New Roman" w:hAnsi="Times New Roman" w:cs="Times New Roman"/>
          <w:sz w:val="22"/>
          <w:szCs w:val="22"/>
          <w:lang w:val="en-CA"/>
        </w:rPr>
        <w:t>2</w:t>
      </w:r>
      <w:r w:rsidR="000C0DC1">
        <w:rPr>
          <w:rFonts w:ascii="Times New Roman" w:hAnsi="Times New Roman" w:cs="Times New Roman"/>
          <w:sz w:val="22"/>
          <w:szCs w:val="22"/>
          <w:lang w:val="en-CA"/>
        </w:rPr>
        <w:t>. Individual who choose</w:t>
      </w:r>
      <w:r w:rsidR="00777902">
        <w:rPr>
          <w:rFonts w:ascii="Times New Roman" w:hAnsi="Times New Roman" w:cs="Times New Roman"/>
          <w:sz w:val="22"/>
          <w:szCs w:val="22"/>
          <w:lang w:val="en-CA"/>
        </w:rPr>
        <w:t>s</w:t>
      </w:r>
      <w:r w:rsidR="000C0DC1">
        <w:rPr>
          <w:rFonts w:ascii="Times New Roman" w:hAnsi="Times New Roman" w:cs="Times New Roman"/>
          <w:sz w:val="22"/>
          <w:szCs w:val="22"/>
          <w:lang w:val="en-CA"/>
        </w:rPr>
        <w:t xml:space="preserve"> not to receive COVID-19 vaccine</w:t>
      </w:r>
    </w:p>
    <w:p w14:paraId="2A50C1E1" w14:textId="77777777" w:rsidR="00D004EA" w:rsidRDefault="00D004EA" w:rsidP="004E5934">
      <w:pPr>
        <w:jc w:val="both"/>
        <w:rPr>
          <w:rFonts w:ascii="Times New Roman" w:hAnsi="Times New Roman" w:cs="Times New Roman"/>
          <w:b/>
          <w:bCs/>
          <w:sz w:val="22"/>
          <w:szCs w:val="22"/>
          <w:lang w:val="en-CA"/>
        </w:rPr>
      </w:pPr>
    </w:p>
    <w:p w14:paraId="7A886B9E" w14:textId="7B840E1F" w:rsidR="00B01D92" w:rsidRPr="00F86B88" w:rsidRDefault="00777902" w:rsidP="004E5934">
      <w:pPr>
        <w:jc w:val="both"/>
        <w:rPr>
          <w:rFonts w:ascii="Times New Roman" w:hAnsi="Times New Roman" w:cs="Times New Roman"/>
          <w:b/>
          <w:sz w:val="22"/>
          <w:szCs w:val="22"/>
          <w:lang w:val="en-CA"/>
        </w:rPr>
      </w:pPr>
      <w:r w:rsidRPr="00F86B88">
        <w:rPr>
          <w:rFonts w:ascii="Times New Roman" w:hAnsi="Times New Roman" w:cs="Times New Roman"/>
          <w:b/>
          <w:sz w:val="22"/>
          <w:szCs w:val="22"/>
          <w:lang w:val="en-CA"/>
        </w:rPr>
        <w:t>Serologic Testing</w:t>
      </w:r>
      <w:r w:rsidR="00B01D92" w:rsidRPr="00F86B88">
        <w:rPr>
          <w:rFonts w:ascii="Times New Roman" w:hAnsi="Times New Roman" w:cs="Times New Roman"/>
          <w:b/>
          <w:sz w:val="22"/>
          <w:szCs w:val="22"/>
          <w:lang w:val="en-CA"/>
        </w:rPr>
        <w:t xml:space="preserve">: </w:t>
      </w:r>
    </w:p>
    <w:p w14:paraId="1B6633BD" w14:textId="2E7DAB24" w:rsidR="00106B04" w:rsidRPr="00CD384F" w:rsidRDefault="00777902" w:rsidP="004E5934">
      <w:pPr>
        <w:jc w:val="both"/>
        <w:rPr>
          <w:rFonts w:ascii="Times New Roman" w:hAnsi="Times New Roman" w:cs="Times New Roman"/>
          <w:sz w:val="22"/>
          <w:szCs w:val="22"/>
          <w:lang w:val="en-CA"/>
        </w:rPr>
      </w:pPr>
      <w:r>
        <w:rPr>
          <w:rFonts w:ascii="Times New Roman" w:hAnsi="Times New Roman" w:cs="Times New Roman"/>
          <w:bCs/>
          <w:sz w:val="22"/>
          <w:szCs w:val="22"/>
          <w:lang w:val="en-CA"/>
        </w:rPr>
        <w:t xml:space="preserve">Two antibody testing will be conducted. The first will utilize Health Canada approved </w:t>
      </w:r>
      <w:r w:rsidRPr="00777902">
        <w:rPr>
          <w:rFonts w:ascii="Times New Roman" w:hAnsi="Times New Roman" w:cs="Times New Roman"/>
          <w:bCs/>
          <w:sz w:val="22"/>
          <w:szCs w:val="22"/>
          <w:lang w:val="en-CA"/>
        </w:rPr>
        <w:t xml:space="preserve">Roche </w:t>
      </w:r>
      <w:proofErr w:type="spellStart"/>
      <w:r w:rsidRPr="00777902">
        <w:rPr>
          <w:rFonts w:ascii="Times New Roman" w:hAnsi="Times New Roman" w:cs="Times New Roman"/>
          <w:bCs/>
          <w:sz w:val="22"/>
          <w:szCs w:val="22"/>
          <w:lang w:val="en-CA"/>
        </w:rPr>
        <w:t>Elecsys</w:t>
      </w:r>
      <w:proofErr w:type="spellEnd"/>
      <w:r w:rsidRPr="00777902">
        <w:rPr>
          <w:rFonts w:ascii="Times New Roman" w:hAnsi="Times New Roman" w:cs="Times New Roman"/>
          <w:bCs/>
          <w:sz w:val="22"/>
          <w:szCs w:val="22"/>
          <w:lang w:val="en-CA"/>
        </w:rPr>
        <w:t xml:space="preserve"> Anti‑SARS‑CoV‑2 </w:t>
      </w:r>
      <w:r w:rsidR="00EB63DF">
        <w:rPr>
          <w:rFonts w:ascii="Times New Roman" w:hAnsi="Times New Roman" w:cs="Times New Roman"/>
          <w:bCs/>
          <w:sz w:val="22"/>
          <w:szCs w:val="22"/>
          <w:lang w:val="en-CA"/>
        </w:rPr>
        <w:t>i</w:t>
      </w:r>
      <w:r w:rsidRPr="00777902">
        <w:rPr>
          <w:rFonts w:ascii="Times New Roman" w:hAnsi="Times New Roman" w:cs="Times New Roman"/>
          <w:bCs/>
          <w:sz w:val="22"/>
          <w:szCs w:val="22"/>
          <w:lang w:val="en-CA"/>
        </w:rPr>
        <w:t>mmunoassay</w:t>
      </w:r>
      <w:r w:rsidR="00EB63DF">
        <w:rPr>
          <w:rFonts w:ascii="Times New Roman" w:hAnsi="Times New Roman" w:cs="Times New Roman"/>
          <w:bCs/>
          <w:sz w:val="22"/>
          <w:szCs w:val="22"/>
          <w:lang w:val="en-CA"/>
        </w:rPr>
        <w:t xml:space="preserve">, and </w:t>
      </w:r>
      <w:r>
        <w:rPr>
          <w:rFonts w:ascii="Times New Roman" w:hAnsi="Times New Roman" w:cs="Times New Roman"/>
          <w:bCs/>
          <w:sz w:val="22"/>
          <w:szCs w:val="22"/>
          <w:lang w:val="en-CA"/>
        </w:rPr>
        <w:t xml:space="preserve">newly developed a latex agglutination method. </w:t>
      </w:r>
      <w:r w:rsidR="00DB262F" w:rsidRPr="00CD384F">
        <w:rPr>
          <w:rFonts w:ascii="Times New Roman" w:hAnsi="Times New Roman" w:cs="Times New Roman"/>
          <w:bCs/>
          <w:sz w:val="22"/>
          <w:szCs w:val="22"/>
          <w:lang w:val="en-CA"/>
        </w:rPr>
        <w:t xml:space="preserve">The </w:t>
      </w:r>
      <w:r w:rsidR="00106B04" w:rsidRPr="00CD384F">
        <w:rPr>
          <w:rFonts w:ascii="Times New Roman" w:hAnsi="Times New Roman" w:cs="Times New Roman"/>
          <w:bCs/>
          <w:sz w:val="22"/>
          <w:szCs w:val="22"/>
          <w:lang w:val="en-CA"/>
        </w:rPr>
        <w:t xml:space="preserve">serologic </w:t>
      </w:r>
      <w:r w:rsidR="00DB262F" w:rsidRPr="00CD384F">
        <w:rPr>
          <w:rFonts w:ascii="Times New Roman" w:hAnsi="Times New Roman" w:cs="Times New Roman"/>
          <w:bCs/>
          <w:sz w:val="22"/>
          <w:szCs w:val="22"/>
          <w:lang w:val="en-CA"/>
        </w:rPr>
        <w:t xml:space="preserve">test developed </w:t>
      </w:r>
      <w:r w:rsidR="00DB262F" w:rsidRPr="00CD384F">
        <w:rPr>
          <w:rFonts w:ascii="Times New Roman" w:eastAsia="Times New Roman" w:hAnsi="Times New Roman" w:cs="Times New Roman"/>
          <w:sz w:val="22"/>
          <w:szCs w:val="22"/>
        </w:rPr>
        <w:t xml:space="preserve">will be modified to detect </w:t>
      </w:r>
      <w:r w:rsidR="00CD384F" w:rsidRPr="00CD384F">
        <w:rPr>
          <w:rFonts w:ascii="Times New Roman" w:eastAsia="Times New Roman" w:hAnsi="Times New Roman" w:cs="Times New Roman"/>
          <w:sz w:val="22"/>
          <w:szCs w:val="22"/>
        </w:rPr>
        <w:t xml:space="preserve">the </w:t>
      </w:r>
      <w:r w:rsidR="002E00B5" w:rsidRPr="00CD384F">
        <w:rPr>
          <w:rFonts w:ascii="Times New Roman" w:eastAsia="Times New Roman" w:hAnsi="Times New Roman" w:cs="Times New Roman"/>
          <w:sz w:val="22"/>
          <w:szCs w:val="22"/>
        </w:rPr>
        <w:t>Nucleocapsid and</w:t>
      </w:r>
      <w:r w:rsidR="00DB262F" w:rsidRPr="00CD384F">
        <w:rPr>
          <w:rFonts w:ascii="Times New Roman" w:eastAsia="Times New Roman" w:hAnsi="Times New Roman" w:cs="Times New Roman"/>
          <w:sz w:val="22"/>
          <w:szCs w:val="22"/>
        </w:rPr>
        <w:t xml:space="preserve"> Spike proteins</w:t>
      </w:r>
      <w:r w:rsidR="00F01777" w:rsidRPr="00CD384F">
        <w:rPr>
          <w:rFonts w:ascii="Times New Roman" w:eastAsia="Times New Roman" w:hAnsi="Times New Roman" w:cs="Times New Roman"/>
          <w:sz w:val="22"/>
          <w:szCs w:val="22"/>
        </w:rPr>
        <w:t>, including the major epitopes within the spike protein</w:t>
      </w:r>
      <w:r w:rsidR="00DB262F" w:rsidRPr="00CD384F">
        <w:rPr>
          <w:rFonts w:ascii="Times New Roman" w:eastAsia="Times New Roman" w:hAnsi="Times New Roman" w:cs="Times New Roman"/>
          <w:sz w:val="22"/>
          <w:szCs w:val="22"/>
        </w:rPr>
        <w:t xml:space="preserve">. Using this assay, positivity for both N and S antigens would identify natural </w:t>
      </w:r>
      <w:r w:rsidR="003C07E9" w:rsidRPr="00CD384F">
        <w:rPr>
          <w:rFonts w:ascii="Times New Roman" w:eastAsia="Times New Roman" w:hAnsi="Times New Roman" w:cs="Times New Roman"/>
          <w:sz w:val="22"/>
          <w:szCs w:val="22"/>
        </w:rPr>
        <w:t>infected whilst</w:t>
      </w:r>
      <w:r w:rsidR="00DB262F" w:rsidRPr="00CD384F">
        <w:rPr>
          <w:rFonts w:ascii="Times New Roman" w:eastAsia="Times New Roman" w:hAnsi="Times New Roman" w:cs="Times New Roman"/>
          <w:sz w:val="22"/>
          <w:szCs w:val="22"/>
        </w:rPr>
        <w:t xml:space="preserve"> positivity for only S would suggest </w:t>
      </w:r>
      <w:r w:rsidR="004C76F8">
        <w:rPr>
          <w:rFonts w:ascii="Times New Roman" w:eastAsia="Times New Roman" w:hAnsi="Times New Roman" w:cs="Times New Roman"/>
          <w:sz w:val="22"/>
          <w:szCs w:val="22"/>
        </w:rPr>
        <w:t>v</w:t>
      </w:r>
      <w:r w:rsidR="00DB262F" w:rsidRPr="00CD384F">
        <w:rPr>
          <w:rFonts w:ascii="Times New Roman" w:eastAsia="Times New Roman" w:hAnsi="Times New Roman" w:cs="Times New Roman"/>
          <w:sz w:val="22"/>
          <w:szCs w:val="22"/>
        </w:rPr>
        <w:t>accine acquired immunity</w:t>
      </w:r>
      <w:r w:rsidR="00DB262F" w:rsidRPr="00CD384F">
        <w:rPr>
          <w:rFonts w:ascii="Times New Roman" w:hAnsi="Times New Roman" w:cs="Times New Roman"/>
          <w:b/>
          <w:bCs/>
          <w:sz w:val="22"/>
          <w:szCs w:val="22"/>
          <w:lang w:val="en-CA"/>
        </w:rPr>
        <w:t>.</w:t>
      </w:r>
      <w:r w:rsidR="00F01777" w:rsidRPr="00CD384F">
        <w:rPr>
          <w:rFonts w:ascii="Times New Roman" w:hAnsi="Times New Roman" w:cs="Times New Roman"/>
          <w:b/>
          <w:bCs/>
          <w:sz w:val="22"/>
          <w:szCs w:val="22"/>
          <w:lang w:val="en-CA"/>
        </w:rPr>
        <w:t xml:space="preserve"> </w:t>
      </w:r>
      <w:r w:rsidR="00F01777" w:rsidRPr="00CD384F">
        <w:rPr>
          <w:rFonts w:ascii="Times New Roman" w:hAnsi="Times New Roman" w:cs="Times New Roman"/>
          <w:sz w:val="22"/>
          <w:szCs w:val="22"/>
          <w:lang w:val="en-CA"/>
        </w:rPr>
        <w:t>Epitope-based antibody testing would</w:t>
      </w:r>
      <w:r w:rsidR="00F01777" w:rsidRPr="00CD384F">
        <w:rPr>
          <w:rFonts w:ascii="Times New Roman" w:hAnsi="Times New Roman" w:cs="Times New Roman"/>
          <w:b/>
          <w:bCs/>
          <w:sz w:val="22"/>
          <w:szCs w:val="22"/>
          <w:lang w:val="en-CA"/>
        </w:rPr>
        <w:t xml:space="preserve"> </w:t>
      </w:r>
      <w:r w:rsidR="00F01777" w:rsidRPr="00CD384F">
        <w:rPr>
          <w:rFonts w:ascii="Times New Roman" w:hAnsi="Times New Roman" w:cs="Times New Roman"/>
          <w:sz w:val="22"/>
          <w:szCs w:val="22"/>
          <w:lang w:val="en-CA"/>
        </w:rPr>
        <w:t>reveal the efficacy of the S antibodies to epitopes altered in the variants discovered in the UK, African and Brazil. Some of these variants have already been detected in Canada.</w:t>
      </w:r>
    </w:p>
    <w:p w14:paraId="3ADB8DA9" w14:textId="530FB5E0" w:rsidR="00106B04" w:rsidRDefault="00106B04" w:rsidP="00106B04">
      <w:pPr>
        <w:rPr>
          <w:rFonts w:ascii="Times New Roman" w:hAnsi="Times New Roman" w:cs="Times New Roman"/>
          <w:b/>
          <w:bCs/>
          <w:sz w:val="22"/>
          <w:szCs w:val="22"/>
          <w:lang w:val="en-CA"/>
        </w:rPr>
      </w:pPr>
    </w:p>
    <w:p w14:paraId="05CCFA72" w14:textId="22928EAF" w:rsidR="00FA3AF8" w:rsidRDefault="00FA3AF8" w:rsidP="00BF29A7">
      <w:pPr>
        <w:jc w:val="both"/>
        <w:rPr>
          <w:rFonts w:ascii="Times New Roman" w:hAnsi="Times New Roman" w:cs="Times New Roman"/>
          <w:sz w:val="22"/>
          <w:szCs w:val="22"/>
          <w:lang w:val="en-CA"/>
        </w:rPr>
      </w:pPr>
      <w:r w:rsidRPr="00524984">
        <w:rPr>
          <w:rFonts w:ascii="Times New Roman" w:hAnsi="Times New Roman" w:cs="Times New Roman"/>
          <w:b/>
          <w:sz w:val="22"/>
          <w:szCs w:val="22"/>
          <w:lang w:val="en-CA"/>
        </w:rPr>
        <w:t>T cell response Sub</w:t>
      </w:r>
      <w:r w:rsidR="00A63577">
        <w:rPr>
          <w:rFonts w:ascii="Times New Roman" w:hAnsi="Times New Roman" w:cs="Times New Roman"/>
          <w:b/>
          <w:sz w:val="22"/>
          <w:szCs w:val="22"/>
          <w:lang w:val="en-CA"/>
        </w:rPr>
        <w:t xml:space="preserve"> </w:t>
      </w:r>
      <w:r w:rsidRPr="00524984">
        <w:rPr>
          <w:rFonts w:ascii="Times New Roman" w:hAnsi="Times New Roman" w:cs="Times New Roman"/>
          <w:b/>
          <w:sz w:val="22"/>
          <w:szCs w:val="22"/>
          <w:lang w:val="en-CA"/>
        </w:rPr>
        <w:t>study</w:t>
      </w:r>
      <w:r>
        <w:rPr>
          <w:rFonts w:ascii="Times New Roman" w:hAnsi="Times New Roman" w:cs="Times New Roman"/>
          <w:sz w:val="22"/>
          <w:szCs w:val="22"/>
          <w:lang w:val="en-CA"/>
        </w:rPr>
        <w:t xml:space="preserve">: </w:t>
      </w:r>
    </w:p>
    <w:p w14:paraId="0EB3CD8B" w14:textId="03B5D4E4" w:rsidR="00777902" w:rsidRPr="00BF29A7" w:rsidRDefault="00EB2059" w:rsidP="00BF29A7">
      <w:pPr>
        <w:jc w:val="both"/>
        <w:rPr>
          <w:rFonts w:ascii="Times New Roman" w:hAnsi="Times New Roman" w:cs="Times New Roman"/>
          <w:sz w:val="22"/>
          <w:szCs w:val="22"/>
          <w:lang w:val="en-CA"/>
        </w:rPr>
      </w:pPr>
      <w:r>
        <w:rPr>
          <w:rFonts w:ascii="Times New Roman" w:hAnsi="Times New Roman" w:cs="Times New Roman"/>
          <w:sz w:val="22"/>
          <w:szCs w:val="22"/>
          <w:lang w:val="en-CA"/>
        </w:rPr>
        <w:t>For the sub study, p</w:t>
      </w:r>
      <w:r w:rsidR="008F1C48" w:rsidRPr="00BF29A7">
        <w:rPr>
          <w:rFonts w:ascii="Times New Roman" w:hAnsi="Times New Roman" w:cs="Times New Roman"/>
          <w:sz w:val="22"/>
          <w:szCs w:val="22"/>
          <w:lang w:val="en-CA"/>
        </w:rPr>
        <w:t>eripheral blood will be obtained from consenting patients and controls via venipuncture by a certified phlebotomist, placed in collection tubes containing an anticoagulant (e.g., heparin or EDTA) to prevent clotting, and immediately transferred to the Haeryfar Laboratory (located at SDRI 234) for further processing. PBMCs will be isolated through density gradient centrifugation, aliquoted and stored in a liquid nitrogen tank until use. Diluted plasma that can be obtained will be aliquoted and stored at -80</w:t>
      </w:r>
      <w:r w:rsidR="00BF29A7">
        <w:rPr>
          <w:rFonts w:ascii="Times New Roman" w:hAnsi="Times New Roman" w:cs="Times New Roman"/>
          <w:sz w:val="22"/>
          <w:szCs w:val="22"/>
          <w:lang w:val="en-CA"/>
        </w:rPr>
        <w:t xml:space="preserve"> </w:t>
      </w:r>
      <w:r w:rsidR="00BF29A7">
        <w:rPr>
          <w:rFonts w:ascii="Calibri" w:hAnsi="Calibri" w:cs="Calibri"/>
          <w:sz w:val="22"/>
          <w:szCs w:val="22"/>
          <w:lang w:val="en-CA"/>
        </w:rPr>
        <w:t>°</w:t>
      </w:r>
      <w:r w:rsidR="008F1C48" w:rsidRPr="00BF29A7">
        <w:rPr>
          <w:rFonts w:ascii="Times New Roman" w:hAnsi="Times New Roman" w:cs="Times New Roman"/>
          <w:sz w:val="22"/>
          <w:szCs w:val="22"/>
          <w:lang w:val="en-CA"/>
        </w:rPr>
        <w:t>C until use.</w:t>
      </w:r>
      <w:r w:rsidR="00BF29A7">
        <w:rPr>
          <w:rFonts w:ascii="Times New Roman" w:hAnsi="Times New Roman" w:cs="Times New Roman"/>
          <w:sz w:val="22"/>
          <w:szCs w:val="22"/>
          <w:lang w:val="en-CA"/>
        </w:rPr>
        <w:t xml:space="preserve"> Cellular immune response will be determined by exposing PBMCs to a pool of SARS-CoV-2 derived peptides and measuring </w:t>
      </w:r>
      <w:proofErr w:type="spellStart"/>
      <w:r w:rsidR="00BF29A7">
        <w:rPr>
          <w:rFonts w:ascii="Times New Roman" w:hAnsi="Times New Roman" w:cs="Times New Roman"/>
          <w:sz w:val="22"/>
          <w:szCs w:val="22"/>
          <w:lang w:val="en-CA"/>
        </w:rPr>
        <w:t>IFNgamma</w:t>
      </w:r>
      <w:proofErr w:type="spellEnd"/>
      <w:r w:rsidR="00BF29A7">
        <w:rPr>
          <w:rFonts w:ascii="Times New Roman" w:hAnsi="Times New Roman" w:cs="Times New Roman"/>
          <w:sz w:val="22"/>
          <w:szCs w:val="22"/>
          <w:lang w:val="en-CA"/>
        </w:rPr>
        <w:t xml:space="preserve"> using ELISPOT assays. This will enumerate Ag-specific T-cells collectively.</w:t>
      </w:r>
    </w:p>
    <w:p w14:paraId="6943D858" w14:textId="02C494BD" w:rsidR="008F1C48" w:rsidRDefault="008F1C48" w:rsidP="00106B04">
      <w:pPr>
        <w:rPr>
          <w:rFonts w:ascii="Times New Roman" w:hAnsi="Times New Roman" w:cs="Times New Roman"/>
          <w:b/>
          <w:bCs/>
          <w:sz w:val="22"/>
          <w:szCs w:val="22"/>
          <w:lang w:val="en-CA"/>
        </w:rPr>
      </w:pPr>
    </w:p>
    <w:p w14:paraId="4A8ABD3F" w14:textId="77777777" w:rsidR="00F86B88" w:rsidRPr="00CD384F" w:rsidRDefault="00F86B88" w:rsidP="00106B04">
      <w:pPr>
        <w:rPr>
          <w:rFonts w:ascii="Times New Roman" w:hAnsi="Times New Roman" w:cs="Times New Roman"/>
          <w:b/>
          <w:bCs/>
          <w:sz w:val="22"/>
          <w:szCs w:val="22"/>
          <w:lang w:val="en-CA"/>
        </w:rPr>
      </w:pPr>
    </w:p>
    <w:p w14:paraId="1AF6C8F0" w14:textId="3A20435A" w:rsidR="004C76F8" w:rsidRDefault="003C07E9" w:rsidP="00F86B88">
      <w:pPr>
        <w:pStyle w:val="Heading2"/>
        <w:rPr>
          <w:lang w:val="en-CA"/>
        </w:rPr>
      </w:pPr>
      <w:r w:rsidRPr="00CD384F">
        <w:rPr>
          <w:lang w:val="en-CA"/>
        </w:rPr>
        <w:t>Anticipated Result</w:t>
      </w:r>
      <w:r w:rsidR="001F25A3" w:rsidRPr="00CD384F">
        <w:rPr>
          <w:lang w:val="en-CA"/>
        </w:rPr>
        <w:t>s</w:t>
      </w:r>
    </w:p>
    <w:p w14:paraId="0FCA180E" w14:textId="2964A7DB" w:rsidR="00BF29A7" w:rsidRDefault="001F25A3" w:rsidP="004E5934">
      <w:pPr>
        <w:jc w:val="both"/>
        <w:rPr>
          <w:rFonts w:ascii="Times New Roman" w:hAnsi="Times New Roman" w:cs="Times New Roman"/>
          <w:sz w:val="22"/>
          <w:szCs w:val="22"/>
          <w:lang w:val="en-CA"/>
        </w:rPr>
      </w:pPr>
      <w:r w:rsidRPr="00CD384F">
        <w:rPr>
          <w:rFonts w:ascii="Times New Roman" w:hAnsi="Times New Roman" w:cs="Times New Roman"/>
          <w:sz w:val="22"/>
          <w:szCs w:val="22"/>
          <w:lang w:val="en-CA"/>
        </w:rPr>
        <w:t>1</w:t>
      </w:r>
      <w:r w:rsidR="00BF29A7">
        <w:rPr>
          <w:rFonts w:ascii="Times New Roman" w:hAnsi="Times New Roman" w:cs="Times New Roman"/>
          <w:sz w:val="22"/>
          <w:szCs w:val="22"/>
          <w:lang w:val="en-CA"/>
        </w:rPr>
        <w:t>.</w:t>
      </w:r>
      <w:r w:rsidRPr="00CD384F">
        <w:rPr>
          <w:rFonts w:ascii="Times New Roman" w:hAnsi="Times New Roman" w:cs="Times New Roman"/>
          <w:sz w:val="22"/>
          <w:szCs w:val="22"/>
          <w:lang w:val="en-CA"/>
        </w:rPr>
        <w:t xml:space="preserve"> </w:t>
      </w:r>
      <w:r w:rsidR="00BF29A7">
        <w:rPr>
          <w:rFonts w:ascii="Times New Roman" w:hAnsi="Times New Roman" w:cs="Times New Roman"/>
          <w:sz w:val="22"/>
          <w:szCs w:val="22"/>
          <w:lang w:val="en-CA"/>
        </w:rPr>
        <w:t>V</w:t>
      </w:r>
      <w:r w:rsidRPr="00CD384F">
        <w:rPr>
          <w:rFonts w:ascii="Times New Roman" w:hAnsi="Times New Roman" w:cs="Times New Roman"/>
          <w:sz w:val="22"/>
          <w:szCs w:val="22"/>
          <w:lang w:val="en-CA"/>
        </w:rPr>
        <w:t xml:space="preserve">aluable information on the dynamics of antibody development to the </w:t>
      </w:r>
      <w:r w:rsidR="00EB63DF">
        <w:rPr>
          <w:rFonts w:ascii="Times New Roman" w:hAnsi="Times New Roman" w:cs="Times New Roman"/>
          <w:sz w:val="22"/>
          <w:szCs w:val="22"/>
          <w:lang w:val="en-CA"/>
        </w:rPr>
        <w:t xml:space="preserve">COVID-19 </w:t>
      </w:r>
      <w:r w:rsidRPr="00CD384F">
        <w:rPr>
          <w:rFonts w:ascii="Times New Roman" w:hAnsi="Times New Roman" w:cs="Times New Roman"/>
          <w:sz w:val="22"/>
          <w:szCs w:val="22"/>
          <w:lang w:val="en-CA"/>
        </w:rPr>
        <w:t>vaccine,</w:t>
      </w:r>
      <w:r w:rsidR="004C76F8">
        <w:rPr>
          <w:rFonts w:ascii="Times New Roman" w:hAnsi="Times New Roman" w:cs="Times New Roman"/>
          <w:sz w:val="22"/>
          <w:szCs w:val="22"/>
          <w:lang w:val="en-CA"/>
        </w:rPr>
        <w:t xml:space="preserve"> </w:t>
      </w:r>
      <w:r w:rsidRPr="00CD384F">
        <w:rPr>
          <w:rFonts w:ascii="Times New Roman" w:hAnsi="Times New Roman" w:cs="Times New Roman"/>
          <w:sz w:val="22"/>
          <w:szCs w:val="22"/>
          <w:lang w:val="en-CA"/>
        </w:rPr>
        <w:t xml:space="preserve">including the time for peak antibody </w:t>
      </w:r>
      <w:r w:rsidRPr="00B01D92">
        <w:rPr>
          <w:rFonts w:ascii="Times New Roman" w:hAnsi="Times New Roman" w:cs="Times New Roman"/>
          <w:sz w:val="22"/>
          <w:szCs w:val="22"/>
          <w:lang w:val="en-CA"/>
        </w:rPr>
        <w:t>production and duration</w:t>
      </w:r>
      <w:r w:rsidR="00F27841" w:rsidRPr="00B01D92">
        <w:rPr>
          <w:rFonts w:ascii="Times New Roman" w:hAnsi="Times New Roman" w:cs="Times New Roman"/>
          <w:sz w:val="22"/>
          <w:szCs w:val="22"/>
          <w:lang w:val="en-CA"/>
        </w:rPr>
        <w:t xml:space="preserve"> in patients with hematologic malignancies</w:t>
      </w:r>
      <w:r w:rsidRPr="00B01D92">
        <w:rPr>
          <w:rFonts w:ascii="Times New Roman" w:hAnsi="Times New Roman" w:cs="Times New Roman"/>
          <w:sz w:val="22"/>
          <w:szCs w:val="22"/>
          <w:lang w:val="en-CA"/>
        </w:rPr>
        <w:t xml:space="preserve">. </w:t>
      </w:r>
    </w:p>
    <w:p w14:paraId="223DE4DA" w14:textId="1588494A" w:rsidR="00BF29A7" w:rsidRDefault="001F25A3" w:rsidP="004E5934">
      <w:pPr>
        <w:jc w:val="both"/>
        <w:rPr>
          <w:rFonts w:ascii="Times New Roman" w:hAnsi="Times New Roman" w:cs="Times New Roman"/>
          <w:sz w:val="22"/>
          <w:szCs w:val="22"/>
          <w:lang w:val="en-CA"/>
        </w:rPr>
      </w:pPr>
      <w:r w:rsidRPr="00B01D92">
        <w:rPr>
          <w:rFonts w:ascii="Times New Roman" w:hAnsi="Times New Roman" w:cs="Times New Roman"/>
          <w:sz w:val="22"/>
          <w:szCs w:val="22"/>
          <w:lang w:val="en-CA"/>
        </w:rPr>
        <w:t>2</w:t>
      </w:r>
      <w:r w:rsidR="00BF29A7">
        <w:rPr>
          <w:rFonts w:ascii="Times New Roman" w:hAnsi="Times New Roman" w:cs="Times New Roman"/>
          <w:sz w:val="22"/>
          <w:szCs w:val="22"/>
          <w:lang w:val="en-CA"/>
        </w:rPr>
        <w:t>.</w:t>
      </w:r>
      <w:r w:rsidRPr="00B01D92">
        <w:rPr>
          <w:rFonts w:ascii="Times New Roman" w:hAnsi="Times New Roman" w:cs="Times New Roman"/>
          <w:sz w:val="22"/>
          <w:szCs w:val="22"/>
          <w:lang w:val="en-CA"/>
        </w:rPr>
        <w:t xml:space="preserve"> </w:t>
      </w:r>
      <w:r w:rsidR="00BF29A7">
        <w:rPr>
          <w:rFonts w:ascii="Times New Roman" w:hAnsi="Times New Roman" w:cs="Times New Roman"/>
          <w:sz w:val="22"/>
          <w:szCs w:val="22"/>
          <w:lang w:val="en-CA"/>
        </w:rPr>
        <w:t>D</w:t>
      </w:r>
      <w:r w:rsidRPr="00B01D92">
        <w:rPr>
          <w:rFonts w:ascii="Times New Roman" w:hAnsi="Times New Roman" w:cs="Times New Roman"/>
          <w:sz w:val="22"/>
          <w:szCs w:val="22"/>
          <w:lang w:val="en-CA"/>
        </w:rPr>
        <w:t>ata linking antibody response to sex, age</w:t>
      </w:r>
      <w:r w:rsidR="00F27841" w:rsidRPr="00B01D92">
        <w:rPr>
          <w:rFonts w:ascii="Times New Roman" w:hAnsi="Times New Roman" w:cs="Times New Roman"/>
          <w:sz w:val="22"/>
          <w:szCs w:val="22"/>
          <w:lang w:val="en-CA"/>
        </w:rPr>
        <w:t xml:space="preserve">, </w:t>
      </w:r>
      <w:r w:rsidR="00F80CF8" w:rsidRPr="00B01D92">
        <w:rPr>
          <w:rFonts w:ascii="Times New Roman" w:hAnsi="Times New Roman" w:cs="Times New Roman"/>
          <w:sz w:val="22"/>
          <w:szCs w:val="22"/>
          <w:lang w:val="en-CA"/>
        </w:rPr>
        <w:t xml:space="preserve">underlying </w:t>
      </w:r>
      <w:r w:rsidR="00F27841" w:rsidRPr="00B01D92">
        <w:rPr>
          <w:rFonts w:ascii="Times New Roman" w:hAnsi="Times New Roman" w:cs="Times New Roman"/>
          <w:sz w:val="22"/>
          <w:szCs w:val="22"/>
          <w:lang w:val="en-CA"/>
        </w:rPr>
        <w:t xml:space="preserve">hematologic condition </w:t>
      </w:r>
      <w:r w:rsidR="00F80CF8" w:rsidRPr="00B01D92">
        <w:rPr>
          <w:rFonts w:ascii="Times New Roman" w:hAnsi="Times New Roman" w:cs="Times New Roman"/>
          <w:sz w:val="22"/>
          <w:szCs w:val="22"/>
          <w:lang w:val="en-CA"/>
        </w:rPr>
        <w:t xml:space="preserve">including </w:t>
      </w:r>
      <w:r w:rsidR="00F27841" w:rsidRPr="00B01D92">
        <w:rPr>
          <w:rFonts w:ascii="Times New Roman" w:hAnsi="Times New Roman" w:cs="Times New Roman"/>
          <w:sz w:val="22"/>
          <w:szCs w:val="22"/>
          <w:lang w:val="en-CA"/>
        </w:rPr>
        <w:t>therapies</w:t>
      </w:r>
      <w:r w:rsidR="00F80CF8" w:rsidRPr="00B01D92">
        <w:rPr>
          <w:rFonts w:ascii="Times New Roman" w:hAnsi="Times New Roman" w:cs="Times New Roman"/>
          <w:sz w:val="22"/>
          <w:szCs w:val="22"/>
          <w:lang w:val="en-CA"/>
        </w:rPr>
        <w:t xml:space="preserve"> received for their hematologic conditions</w:t>
      </w:r>
      <w:r w:rsidRPr="00B01D92">
        <w:rPr>
          <w:rFonts w:ascii="Times New Roman" w:hAnsi="Times New Roman" w:cs="Times New Roman"/>
          <w:sz w:val="22"/>
          <w:szCs w:val="22"/>
          <w:lang w:val="en-CA"/>
        </w:rPr>
        <w:t xml:space="preserve">. </w:t>
      </w:r>
    </w:p>
    <w:p w14:paraId="66930161" w14:textId="71B4DE68" w:rsidR="00BF29A7" w:rsidRDefault="001F25A3" w:rsidP="004E5934">
      <w:pPr>
        <w:jc w:val="both"/>
        <w:rPr>
          <w:rFonts w:ascii="Times New Roman" w:hAnsi="Times New Roman" w:cs="Times New Roman"/>
          <w:sz w:val="22"/>
          <w:szCs w:val="22"/>
          <w:lang w:val="en-CA"/>
        </w:rPr>
      </w:pPr>
      <w:r w:rsidRPr="00B01D92">
        <w:rPr>
          <w:rFonts w:ascii="Times New Roman" w:hAnsi="Times New Roman" w:cs="Times New Roman"/>
          <w:sz w:val="22"/>
          <w:szCs w:val="22"/>
          <w:lang w:val="en-CA"/>
        </w:rPr>
        <w:t>3</w:t>
      </w:r>
      <w:r w:rsidR="00BF29A7">
        <w:rPr>
          <w:rFonts w:ascii="Times New Roman" w:hAnsi="Times New Roman" w:cs="Times New Roman"/>
          <w:sz w:val="22"/>
          <w:szCs w:val="22"/>
          <w:lang w:val="en-CA"/>
        </w:rPr>
        <w:t>.</w:t>
      </w:r>
      <w:r w:rsidRPr="00B01D92">
        <w:rPr>
          <w:rFonts w:ascii="Times New Roman" w:hAnsi="Times New Roman" w:cs="Times New Roman"/>
          <w:sz w:val="22"/>
          <w:szCs w:val="22"/>
          <w:lang w:val="en-CA"/>
        </w:rPr>
        <w:t xml:space="preserve"> The simultaneous measurement for nucleocapsid antibodies will help us assess the population penetrance of the pandemic and study the effect of previous virus exposure to the efficacy of the vaccine by comparing the strength of spike antibody response between individuals that are negative (no prior infection) or positive for anti-nucleocapsid antibodies.</w:t>
      </w:r>
    </w:p>
    <w:p w14:paraId="56D77A2D" w14:textId="1788D585" w:rsidR="00BF29A7" w:rsidRDefault="001F25A3" w:rsidP="004E5934">
      <w:pPr>
        <w:jc w:val="both"/>
        <w:rPr>
          <w:rFonts w:ascii="Times New Roman" w:hAnsi="Times New Roman" w:cs="Times New Roman"/>
          <w:sz w:val="22"/>
          <w:szCs w:val="22"/>
          <w:lang w:val="en-CA"/>
        </w:rPr>
      </w:pPr>
      <w:r w:rsidRPr="00B01D92">
        <w:rPr>
          <w:rFonts w:ascii="Times New Roman" w:hAnsi="Times New Roman" w:cs="Times New Roman"/>
          <w:sz w:val="22"/>
          <w:szCs w:val="22"/>
          <w:lang w:val="en-CA"/>
        </w:rPr>
        <w:t>4</w:t>
      </w:r>
      <w:r w:rsidR="00BF29A7">
        <w:rPr>
          <w:rFonts w:ascii="Times New Roman" w:hAnsi="Times New Roman" w:cs="Times New Roman"/>
          <w:sz w:val="22"/>
          <w:szCs w:val="22"/>
          <w:lang w:val="en-CA"/>
        </w:rPr>
        <w:t>.</w:t>
      </w:r>
      <w:r w:rsidRPr="00B01D92">
        <w:rPr>
          <w:rFonts w:ascii="Times New Roman" w:hAnsi="Times New Roman" w:cs="Times New Roman"/>
          <w:sz w:val="22"/>
          <w:szCs w:val="22"/>
          <w:lang w:val="en-CA"/>
        </w:rPr>
        <w:t xml:space="preserve"> </w:t>
      </w:r>
      <w:r w:rsidR="00BF29A7">
        <w:rPr>
          <w:rFonts w:ascii="Times New Roman" w:hAnsi="Times New Roman" w:cs="Times New Roman"/>
          <w:sz w:val="22"/>
          <w:szCs w:val="22"/>
          <w:lang w:val="en-CA"/>
        </w:rPr>
        <w:t>V</w:t>
      </w:r>
      <w:r w:rsidRPr="00CD384F">
        <w:rPr>
          <w:rFonts w:ascii="Times New Roman" w:hAnsi="Times New Roman" w:cs="Times New Roman"/>
          <w:sz w:val="22"/>
          <w:szCs w:val="22"/>
          <w:lang w:val="en-CA"/>
        </w:rPr>
        <w:t>alidat</w:t>
      </w:r>
      <w:r w:rsidR="00EE0F6F">
        <w:rPr>
          <w:rFonts w:ascii="Times New Roman" w:hAnsi="Times New Roman" w:cs="Times New Roman"/>
          <w:sz w:val="22"/>
          <w:szCs w:val="22"/>
          <w:lang w:val="en-CA"/>
        </w:rPr>
        <w:t>ion of</w:t>
      </w:r>
      <w:r w:rsidRPr="00CD384F">
        <w:rPr>
          <w:rFonts w:ascii="Times New Roman" w:hAnsi="Times New Roman" w:cs="Times New Roman"/>
          <w:sz w:val="22"/>
          <w:szCs w:val="22"/>
          <w:lang w:val="en-CA"/>
        </w:rPr>
        <w:t xml:space="preserve"> a POC antibody test developed in London by us that are based on antibody-dependent agglutination of latex particles. </w:t>
      </w:r>
    </w:p>
    <w:p w14:paraId="3E5CCEF2" w14:textId="77741333" w:rsidR="00213EB0" w:rsidRDefault="001F25A3" w:rsidP="004E5934">
      <w:pPr>
        <w:jc w:val="both"/>
        <w:rPr>
          <w:rFonts w:ascii="Times New Roman" w:hAnsi="Times New Roman" w:cs="Times New Roman"/>
          <w:sz w:val="22"/>
          <w:szCs w:val="22"/>
          <w:lang w:val="en-CA"/>
        </w:rPr>
      </w:pPr>
      <w:r w:rsidRPr="00CD384F">
        <w:rPr>
          <w:rFonts w:ascii="Times New Roman" w:hAnsi="Times New Roman" w:cs="Times New Roman"/>
          <w:sz w:val="22"/>
          <w:szCs w:val="22"/>
          <w:lang w:val="en-CA"/>
        </w:rPr>
        <w:t>5</w:t>
      </w:r>
      <w:r w:rsidR="00BF29A7">
        <w:rPr>
          <w:rFonts w:ascii="Times New Roman" w:hAnsi="Times New Roman" w:cs="Times New Roman"/>
          <w:sz w:val="22"/>
          <w:szCs w:val="22"/>
          <w:lang w:val="en-CA"/>
        </w:rPr>
        <w:t>.</w:t>
      </w:r>
      <w:r w:rsidRPr="00CD384F">
        <w:rPr>
          <w:rFonts w:ascii="Times New Roman" w:hAnsi="Times New Roman" w:cs="Times New Roman"/>
          <w:sz w:val="22"/>
          <w:szCs w:val="22"/>
          <w:lang w:val="en-CA"/>
        </w:rPr>
        <w:t xml:space="preserve"> </w:t>
      </w:r>
      <w:r w:rsidR="00BF29A7">
        <w:rPr>
          <w:rFonts w:ascii="Times New Roman" w:hAnsi="Times New Roman" w:cs="Times New Roman"/>
          <w:sz w:val="22"/>
          <w:szCs w:val="22"/>
          <w:lang w:val="en-CA"/>
        </w:rPr>
        <w:t>P</w:t>
      </w:r>
      <w:r w:rsidRPr="00CD384F">
        <w:rPr>
          <w:rFonts w:ascii="Times New Roman" w:hAnsi="Times New Roman" w:cs="Times New Roman"/>
          <w:sz w:val="22"/>
          <w:szCs w:val="22"/>
          <w:lang w:val="en-CA"/>
        </w:rPr>
        <w:t>rovide valuable information on the effectiveness of the spike mRNA-targeted vaccine to SARS-CoV-2 variants. This data will help guide the design of future vaccine formulations against these variants.</w:t>
      </w:r>
    </w:p>
    <w:p w14:paraId="117E2D76" w14:textId="62520C52" w:rsidR="00D004EA" w:rsidRPr="004E5934" w:rsidRDefault="00BF29A7" w:rsidP="00A746AD">
      <w:pPr>
        <w:jc w:val="both"/>
        <w:rPr>
          <w:rFonts w:ascii="Times New Roman" w:hAnsi="Times New Roman" w:cs="Times New Roman"/>
          <w:sz w:val="22"/>
          <w:szCs w:val="22"/>
          <w:lang w:val="en-CA"/>
        </w:rPr>
      </w:pPr>
      <w:r>
        <w:rPr>
          <w:rFonts w:ascii="Times New Roman" w:hAnsi="Times New Roman" w:cs="Times New Roman"/>
          <w:sz w:val="22"/>
          <w:szCs w:val="22"/>
          <w:lang w:val="en-CA"/>
        </w:rPr>
        <w:t xml:space="preserve">6. </w:t>
      </w:r>
      <w:r w:rsidR="00EE0F6F">
        <w:rPr>
          <w:rFonts w:ascii="Times New Roman" w:hAnsi="Times New Roman" w:cs="Times New Roman"/>
          <w:sz w:val="22"/>
          <w:szCs w:val="22"/>
          <w:lang w:val="en-CA"/>
        </w:rPr>
        <w:t>Comparison of cellular immune responses to COVID-19 vaccine in patients with hematologic malignancy diagnosis trea</w:t>
      </w:r>
      <w:bookmarkStart w:id="1" w:name="_GoBack"/>
      <w:bookmarkEnd w:id="1"/>
      <w:r w:rsidR="00EE0F6F">
        <w:rPr>
          <w:rFonts w:ascii="Times New Roman" w:hAnsi="Times New Roman" w:cs="Times New Roman"/>
          <w:sz w:val="22"/>
          <w:szCs w:val="22"/>
          <w:lang w:val="en-CA"/>
        </w:rPr>
        <w:t>ted with rituximab with similar diagnoses and chemotherapy without rituximab.</w:t>
      </w:r>
    </w:p>
    <w:sectPr w:rsidR="00D004EA" w:rsidRPr="004E593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A2AD6" w14:textId="77777777" w:rsidR="00A865C3" w:rsidRDefault="00A865C3" w:rsidP="00D64112">
      <w:r>
        <w:separator/>
      </w:r>
    </w:p>
  </w:endnote>
  <w:endnote w:type="continuationSeparator" w:id="0">
    <w:p w14:paraId="75D9597F" w14:textId="77777777" w:rsidR="00A865C3" w:rsidRDefault="00A865C3" w:rsidP="00D6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6F3F4" w14:textId="40308DFC" w:rsidR="00204C25" w:rsidRPr="00204C25" w:rsidRDefault="00204C25" w:rsidP="00AF68D8">
    <w:pPr>
      <w:pStyle w:val="Footer"/>
      <w:jc w:val="right"/>
      <w:rPr>
        <w:sz w:val="18"/>
        <w:lang w:val="en-CA"/>
      </w:rPr>
    </w:pPr>
    <w:r w:rsidRPr="00204C25">
      <w:rPr>
        <w:sz w:val="18"/>
        <w:lang w:val="en-CA"/>
      </w:rPr>
      <w:t>Version date: July 5,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1AC8A" w14:textId="77777777" w:rsidR="00A865C3" w:rsidRDefault="00A865C3" w:rsidP="00D64112">
      <w:r>
        <w:separator/>
      </w:r>
    </w:p>
  </w:footnote>
  <w:footnote w:type="continuationSeparator" w:id="0">
    <w:p w14:paraId="063ABFCD" w14:textId="77777777" w:rsidR="00A865C3" w:rsidRDefault="00A865C3" w:rsidP="00D64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7ED5"/>
    <w:multiLevelType w:val="hybridMultilevel"/>
    <w:tmpl w:val="EFCAC7F8"/>
    <w:lvl w:ilvl="0" w:tplc="FFFFFFFF">
      <w:start w:val="1"/>
      <w:numFmt w:val="decimal"/>
      <w:lvlText w:val="%1."/>
      <w:lvlJc w:val="left"/>
      <w:pPr>
        <w:ind w:left="720" w:hanging="360"/>
      </w:pPr>
    </w:lvl>
    <w:lvl w:ilvl="1" w:tplc="85D6EEF6">
      <w:start w:val="1"/>
      <w:numFmt w:val="lowerLetter"/>
      <w:lvlText w:val="%2."/>
      <w:lvlJc w:val="left"/>
      <w:pPr>
        <w:ind w:left="1440" w:hanging="360"/>
      </w:pPr>
    </w:lvl>
    <w:lvl w:ilvl="2" w:tplc="F7C4CBD4">
      <w:start w:val="1"/>
      <w:numFmt w:val="lowerRoman"/>
      <w:lvlText w:val="%3."/>
      <w:lvlJc w:val="right"/>
      <w:pPr>
        <w:ind w:left="2160" w:hanging="180"/>
      </w:pPr>
    </w:lvl>
    <w:lvl w:ilvl="3" w:tplc="2BD88768">
      <w:start w:val="1"/>
      <w:numFmt w:val="decimal"/>
      <w:lvlText w:val="%4."/>
      <w:lvlJc w:val="left"/>
      <w:pPr>
        <w:ind w:left="2880" w:hanging="360"/>
      </w:pPr>
    </w:lvl>
    <w:lvl w:ilvl="4" w:tplc="09C0759E">
      <w:start w:val="1"/>
      <w:numFmt w:val="lowerLetter"/>
      <w:lvlText w:val="%5."/>
      <w:lvlJc w:val="left"/>
      <w:pPr>
        <w:ind w:left="3600" w:hanging="360"/>
      </w:pPr>
    </w:lvl>
    <w:lvl w:ilvl="5" w:tplc="88941CB6">
      <w:start w:val="1"/>
      <w:numFmt w:val="lowerRoman"/>
      <w:lvlText w:val="%6."/>
      <w:lvlJc w:val="right"/>
      <w:pPr>
        <w:ind w:left="4320" w:hanging="180"/>
      </w:pPr>
    </w:lvl>
    <w:lvl w:ilvl="6" w:tplc="ED16282E">
      <w:start w:val="1"/>
      <w:numFmt w:val="decimal"/>
      <w:lvlText w:val="%7."/>
      <w:lvlJc w:val="left"/>
      <w:pPr>
        <w:ind w:left="5040" w:hanging="360"/>
      </w:pPr>
    </w:lvl>
    <w:lvl w:ilvl="7" w:tplc="B914DC86">
      <w:start w:val="1"/>
      <w:numFmt w:val="lowerLetter"/>
      <w:lvlText w:val="%8."/>
      <w:lvlJc w:val="left"/>
      <w:pPr>
        <w:ind w:left="5760" w:hanging="360"/>
      </w:pPr>
    </w:lvl>
    <w:lvl w:ilvl="8" w:tplc="8048E71C">
      <w:start w:val="1"/>
      <w:numFmt w:val="lowerRoman"/>
      <w:lvlText w:val="%9."/>
      <w:lvlJc w:val="right"/>
      <w:pPr>
        <w:ind w:left="6480" w:hanging="180"/>
      </w:pPr>
    </w:lvl>
  </w:abstractNum>
  <w:abstractNum w:abstractNumId="1" w15:restartNumberingAfterBreak="0">
    <w:nsid w:val="1F633FA3"/>
    <w:multiLevelType w:val="hybridMultilevel"/>
    <w:tmpl w:val="B73AD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B2F15"/>
    <w:multiLevelType w:val="hybridMultilevel"/>
    <w:tmpl w:val="96BC3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04"/>
    <w:rsid w:val="000204B8"/>
    <w:rsid w:val="00052616"/>
    <w:rsid w:val="000B66D7"/>
    <w:rsid w:val="000C0DC1"/>
    <w:rsid w:val="000F389C"/>
    <w:rsid w:val="000F794F"/>
    <w:rsid w:val="001033F2"/>
    <w:rsid w:val="00106B04"/>
    <w:rsid w:val="00112502"/>
    <w:rsid w:val="00114851"/>
    <w:rsid w:val="00117A4A"/>
    <w:rsid w:val="00136067"/>
    <w:rsid w:val="00147C27"/>
    <w:rsid w:val="001522BB"/>
    <w:rsid w:val="001A474E"/>
    <w:rsid w:val="001F25A3"/>
    <w:rsid w:val="00204C25"/>
    <w:rsid w:val="00211B06"/>
    <w:rsid w:val="00213EB0"/>
    <w:rsid w:val="00266D45"/>
    <w:rsid w:val="00281AFF"/>
    <w:rsid w:val="002834E9"/>
    <w:rsid w:val="00286242"/>
    <w:rsid w:val="002E00B5"/>
    <w:rsid w:val="00322249"/>
    <w:rsid w:val="003346F2"/>
    <w:rsid w:val="00351C2F"/>
    <w:rsid w:val="003A0FF8"/>
    <w:rsid w:val="003C07E9"/>
    <w:rsid w:val="003D701D"/>
    <w:rsid w:val="00405AEC"/>
    <w:rsid w:val="00423188"/>
    <w:rsid w:val="004308A3"/>
    <w:rsid w:val="004432CC"/>
    <w:rsid w:val="00447EE5"/>
    <w:rsid w:val="004C76F8"/>
    <w:rsid w:val="004D69D2"/>
    <w:rsid w:val="004E4613"/>
    <w:rsid w:val="004E5934"/>
    <w:rsid w:val="004F21CF"/>
    <w:rsid w:val="004F250A"/>
    <w:rsid w:val="005069EA"/>
    <w:rsid w:val="00524984"/>
    <w:rsid w:val="00537F73"/>
    <w:rsid w:val="00564EB1"/>
    <w:rsid w:val="00567BE8"/>
    <w:rsid w:val="00572691"/>
    <w:rsid w:val="005D6CC5"/>
    <w:rsid w:val="005F4BAB"/>
    <w:rsid w:val="00632FDC"/>
    <w:rsid w:val="00697B0E"/>
    <w:rsid w:val="006C42FB"/>
    <w:rsid w:val="00704219"/>
    <w:rsid w:val="007562B0"/>
    <w:rsid w:val="00777902"/>
    <w:rsid w:val="007F1042"/>
    <w:rsid w:val="008C032B"/>
    <w:rsid w:val="008C3447"/>
    <w:rsid w:val="008F1C48"/>
    <w:rsid w:val="008F1ECD"/>
    <w:rsid w:val="008F5FCA"/>
    <w:rsid w:val="008F7960"/>
    <w:rsid w:val="00904E2E"/>
    <w:rsid w:val="00933EBC"/>
    <w:rsid w:val="00940656"/>
    <w:rsid w:val="00974EF2"/>
    <w:rsid w:val="009967C7"/>
    <w:rsid w:val="009B0997"/>
    <w:rsid w:val="009C111D"/>
    <w:rsid w:val="009E399C"/>
    <w:rsid w:val="009F057E"/>
    <w:rsid w:val="00A1063A"/>
    <w:rsid w:val="00A561A4"/>
    <w:rsid w:val="00A63577"/>
    <w:rsid w:val="00A64336"/>
    <w:rsid w:val="00A72F73"/>
    <w:rsid w:val="00A746AD"/>
    <w:rsid w:val="00A865C3"/>
    <w:rsid w:val="00AD392F"/>
    <w:rsid w:val="00AF68D8"/>
    <w:rsid w:val="00B01D92"/>
    <w:rsid w:val="00B33A49"/>
    <w:rsid w:val="00B71169"/>
    <w:rsid w:val="00BB429A"/>
    <w:rsid w:val="00BE0FBB"/>
    <w:rsid w:val="00BE206D"/>
    <w:rsid w:val="00BF1A4A"/>
    <w:rsid w:val="00BF29A7"/>
    <w:rsid w:val="00C22A6D"/>
    <w:rsid w:val="00C638BD"/>
    <w:rsid w:val="00CA6574"/>
    <w:rsid w:val="00CD384F"/>
    <w:rsid w:val="00D004EA"/>
    <w:rsid w:val="00D260AF"/>
    <w:rsid w:val="00D406CA"/>
    <w:rsid w:val="00D42602"/>
    <w:rsid w:val="00D62331"/>
    <w:rsid w:val="00D64112"/>
    <w:rsid w:val="00D82D0A"/>
    <w:rsid w:val="00D90611"/>
    <w:rsid w:val="00DA073B"/>
    <w:rsid w:val="00DB262F"/>
    <w:rsid w:val="00DD0D68"/>
    <w:rsid w:val="00E03BBD"/>
    <w:rsid w:val="00E1400E"/>
    <w:rsid w:val="00E33DDD"/>
    <w:rsid w:val="00E95596"/>
    <w:rsid w:val="00E95925"/>
    <w:rsid w:val="00EB2059"/>
    <w:rsid w:val="00EB63DF"/>
    <w:rsid w:val="00EB6C2A"/>
    <w:rsid w:val="00EC268A"/>
    <w:rsid w:val="00EC4AB2"/>
    <w:rsid w:val="00ED6593"/>
    <w:rsid w:val="00EE0F6F"/>
    <w:rsid w:val="00EE188C"/>
    <w:rsid w:val="00F01777"/>
    <w:rsid w:val="00F07E0E"/>
    <w:rsid w:val="00F27841"/>
    <w:rsid w:val="00F4047F"/>
    <w:rsid w:val="00F437E8"/>
    <w:rsid w:val="00F65FBB"/>
    <w:rsid w:val="00F80CF8"/>
    <w:rsid w:val="00F84750"/>
    <w:rsid w:val="00F86B88"/>
    <w:rsid w:val="00FA3AF8"/>
    <w:rsid w:val="00FA6CFE"/>
    <w:rsid w:val="00FA72CB"/>
    <w:rsid w:val="00FE0B2C"/>
    <w:rsid w:val="00FE5CFB"/>
    <w:rsid w:val="00FF3AD7"/>
    <w:rsid w:val="00FF7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B081BE"/>
  <w15:chartTrackingRefBased/>
  <w15:docId w15:val="{77CCCD0D-6E55-4E90-A45C-FC60CAE5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C8D"/>
    <w:pPr>
      <w:spacing w:after="0" w:line="240" w:lineRule="auto"/>
    </w:pPr>
    <w:rPr>
      <w:sz w:val="24"/>
      <w:szCs w:val="24"/>
    </w:rPr>
  </w:style>
  <w:style w:type="paragraph" w:styleId="Heading2">
    <w:name w:val="heading 2"/>
    <w:basedOn w:val="Normal"/>
    <w:next w:val="Normal"/>
    <w:link w:val="Heading2Char"/>
    <w:uiPriority w:val="9"/>
    <w:unhideWhenUsed/>
    <w:qFormat/>
    <w:rsid w:val="00F86B88"/>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B04"/>
    <w:pPr>
      <w:ind w:left="720"/>
      <w:contextualSpacing/>
    </w:pPr>
  </w:style>
  <w:style w:type="paragraph" w:styleId="Caption">
    <w:name w:val="caption"/>
    <w:basedOn w:val="Normal"/>
    <w:next w:val="Normal"/>
    <w:uiPriority w:val="35"/>
    <w:unhideWhenUsed/>
    <w:qFormat/>
    <w:rsid w:val="00106B04"/>
    <w:pPr>
      <w:spacing w:after="200"/>
    </w:pPr>
    <w:rPr>
      <w:i/>
      <w:iCs/>
      <w:color w:val="44546A" w:themeColor="text2"/>
      <w:sz w:val="18"/>
      <w:szCs w:val="18"/>
    </w:rPr>
  </w:style>
  <w:style w:type="paragraph" w:styleId="Header">
    <w:name w:val="header"/>
    <w:basedOn w:val="Normal"/>
    <w:link w:val="HeaderChar"/>
    <w:uiPriority w:val="99"/>
    <w:unhideWhenUsed/>
    <w:rsid w:val="00D64112"/>
    <w:pPr>
      <w:tabs>
        <w:tab w:val="center" w:pos="4680"/>
        <w:tab w:val="right" w:pos="9360"/>
      </w:tabs>
    </w:pPr>
  </w:style>
  <w:style w:type="character" w:customStyle="1" w:styleId="HeaderChar">
    <w:name w:val="Header Char"/>
    <w:basedOn w:val="DefaultParagraphFont"/>
    <w:link w:val="Header"/>
    <w:uiPriority w:val="99"/>
    <w:rsid w:val="00D64112"/>
    <w:rPr>
      <w:sz w:val="24"/>
      <w:szCs w:val="24"/>
    </w:rPr>
  </w:style>
  <w:style w:type="paragraph" w:styleId="Footer">
    <w:name w:val="footer"/>
    <w:basedOn w:val="Normal"/>
    <w:link w:val="FooterChar"/>
    <w:uiPriority w:val="99"/>
    <w:unhideWhenUsed/>
    <w:rsid w:val="00D64112"/>
    <w:pPr>
      <w:tabs>
        <w:tab w:val="center" w:pos="4680"/>
        <w:tab w:val="right" w:pos="9360"/>
      </w:tabs>
    </w:pPr>
  </w:style>
  <w:style w:type="character" w:customStyle="1" w:styleId="FooterChar">
    <w:name w:val="Footer Char"/>
    <w:basedOn w:val="DefaultParagraphFont"/>
    <w:link w:val="Footer"/>
    <w:uiPriority w:val="99"/>
    <w:rsid w:val="00D64112"/>
    <w:rPr>
      <w:sz w:val="24"/>
      <w:szCs w:val="24"/>
    </w:rPr>
  </w:style>
  <w:style w:type="paragraph" w:styleId="NormalWeb">
    <w:name w:val="Normal (Web)"/>
    <w:basedOn w:val="Normal"/>
    <w:uiPriority w:val="99"/>
    <w:semiHidden/>
    <w:unhideWhenUsed/>
    <w:rsid w:val="00213EB0"/>
    <w:pPr>
      <w:spacing w:before="100" w:beforeAutospacing="1" w:after="100" w:afterAutospacing="1"/>
    </w:pPr>
    <w:rPr>
      <w:rFonts w:ascii="Times New Roman" w:eastAsia="Times New Roman" w:hAnsi="Times New Roman" w:cs="Times New Roman"/>
      <w:lang w:val="en-CA" w:eastAsia="ko-KR"/>
    </w:rPr>
  </w:style>
  <w:style w:type="character" w:styleId="CommentReference">
    <w:name w:val="annotation reference"/>
    <w:basedOn w:val="DefaultParagraphFont"/>
    <w:uiPriority w:val="99"/>
    <w:semiHidden/>
    <w:unhideWhenUsed/>
    <w:rsid w:val="00D62331"/>
    <w:rPr>
      <w:sz w:val="16"/>
      <w:szCs w:val="16"/>
    </w:rPr>
  </w:style>
  <w:style w:type="paragraph" w:styleId="CommentText">
    <w:name w:val="annotation text"/>
    <w:basedOn w:val="Normal"/>
    <w:link w:val="CommentTextChar"/>
    <w:uiPriority w:val="99"/>
    <w:semiHidden/>
    <w:unhideWhenUsed/>
    <w:rsid w:val="00D62331"/>
    <w:rPr>
      <w:sz w:val="20"/>
      <w:szCs w:val="20"/>
    </w:rPr>
  </w:style>
  <w:style w:type="character" w:customStyle="1" w:styleId="CommentTextChar">
    <w:name w:val="Comment Text Char"/>
    <w:basedOn w:val="DefaultParagraphFont"/>
    <w:link w:val="CommentText"/>
    <w:uiPriority w:val="99"/>
    <w:semiHidden/>
    <w:rsid w:val="00D62331"/>
    <w:rPr>
      <w:sz w:val="20"/>
      <w:szCs w:val="20"/>
    </w:rPr>
  </w:style>
  <w:style w:type="paragraph" w:styleId="CommentSubject">
    <w:name w:val="annotation subject"/>
    <w:basedOn w:val="CommentText"/>
    <w:next w:val="CommentText"/>
    <w:link w:val="CommentSubjectChar"/>
    <w:uiPriority w:val="99"/>
    <w:semiHidden/>
    <w:unhideWhenUsed/>
    <w:rsid w:val="00D62331"/>
    <w:rPr>
      <w:b/>
      <w:bCs/>
    </w:rPr>
  </w:style>
  <w:style w:type="character" w:customStyle="1" w:styleId="CommentSubjectChar">
    <w:name w:val="Comment Subject Char"/>
    <w:basedOn w:val="CommentTextChar"/>
    <w:link w:val="CommentSubject"/>
    <w:uiPriority w:val="99"/>
    <w:semiHidden/>
    <w:rsid w:val="00D62331"/>
    <w:rPr>
      <w:b/>
      <w:bCs/>
      <w:sz w:val="20"/>
      <w:szCs w:val="20"/>
    </w:rPr>
  </w:style>
  <w:style w:type="table" w:styleId="TableGrid">
    <w:name w:val="Table Grid"/>
    <w:basedOn w:val="TableNormal"/>
    <w:uiPriority w:val="39"/>
    <w:rsid w:val="00E95925"/>
    <w:pPr>
      <w:spacing w:after="0" w:line="240" w:lineRule="auto"/>
    </w:pPr>
    <w:rPr>
      <w:rFonts w:eastAsiaTheme="minorEastAsia"/>
      <w:lang w:val="en-CA"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26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602"/>
    <w:rPr>
      <w:rFonts w:ascii="Segoe UI" w:hAnsi="Segoe UI" w:cs="Segoe UI"/>
      <w:sz w:val="18"/>
      <w:szCs w:val="18"/>
    </w:rPr>
  </w:style>
  <w:style w:type="character" w:customStyle="1" w:styleId="Heading2Char">
    <w:name w:val="Heading 2 Char"/>
    <w:basedOn w:val="DefaultParagraphFont"/>
    <w:link w:val="Heading2"/>
    <w:uiPriority w:val="9"/>
    <w:rsid w:val="00F86B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9427">
      <w:bodyDiv w:val="1"/>
      <w:marLeft w:val="0"/>
      <w:marRight w:val="0"/>
      <w:marTop w:val="0"/>
      <w:marBottom w:val="0"/>
      <w:divBdr>
        <w:top w:val="none" w:sz="0" w:space="0" w:color="auto"/>
        <w:left w:val="none" w:sz="0" w:space="0" w:color="auto"/>
        <w:bottom w:val="none" w:sz="0" w:space="0" w:color="auto"/>
        <w:right w:val="none" w:sz="0" w:space="0" w:color="auto"/>
      </w:divBdr>
    </w:div>
    <w:div w:id="694885925">
      <w:bodyDiv w:val="1"/>
      <w:marLeft w:val="0"/>
      <w:marRight w:val="0"/>
      <w:marTop w:val="0"/>
      <w:marBottom w:val="0"/>
      <w:divBdr>
        <w:top w:val="none" w:sz="0" w:space="0" w:color="auto"/>
        <w:left w:val="none" w:sz="0" w:space="0" w:color="auto"/>
        <w:bottom w:val="none" w:sz="0" w:space="0" w:color="auto"/>
        <w:right w:val="none" w:sz="0" w:space="0" w:color="auto"/>
      </w:divBdr>
    </w:div>
    <w:div w:id="763035788">
      <w:bodyDiv w:val="1"/>
      <w:marLeft w:val="0"/>
      <w:marRight w:val="0"/>
      <w:marTop w:val="0"/>
      <w:marBottom w:val="0"/>
      <w:divBdr>
        <w:top w:val="none" w:sz="0" w:space="0" w:color="auto"/>
        <w:left w:val="none" w:sz="0" w:space="0" w:color="auto"/>
        <w:bottom w:val="none" w:sz="0" w:space="0" w:color="auto"/>
        <w:right w:val="none" w:sz="0" w:space="0" w:color="auto"/>
      </w:divBdr>
    </w:div>
    <w:div w:id="176051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FE76-9237-4F87-A0C3-5CA96A48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Kim</dc:creator>
  <cp:keywords/>
  <dc:description/>
  <cp:lastModifiedBy>Jenny Kim</cp:lastModifiedBy>
  <cp:revision>3</cp:revision>
  <dcterms:created xsi:type="dcterms:W3CDTF">2021-07-05T20:02:00Z</dcterms:created>
  <dcterms:modified xsi:type="dcterms:W3CDTF">2021-07-05T20:04:00Z</dcterms:modified>
</cp:coreProperties>
</file>