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drawing>
          <wp:inline xmlns:a="http://schemas.openxmlformats.org/drawingml/2006/main" xmlns:pic="http://schemas.openxmlformats.org/drawingml/2006/picture">
            <wp:extent cx="1737360" cy="868680"/>
            <wp:docPr id="1" name="Picture 1"/>
            <wp:cNvGraphicFramePr>
              <a:graphicFrameLocks noChangeAspect="1"/>
            </wp:cNvGraphicFramePr>
            <a:graphic>
              <a:graphicData uri="http://schemas.openxmlformats.org/drawingml/2006/picture">
                <pic:pic>
                  <pic:nvPicPr>
                    <pic:cNvPr id="0" name="logo-header.png"/>
                    <pic:cNvPicPr/>
                  </pic:nvPicPr>
                  <pic:blipFill>
                    <a:blip r:embed="rId9"/>
                    <a:stretch>
                      <a:fillRect/>
                    </a:stretch>
                  </pic:blipFill>
                  <pic:spPr>
                    <a:xfrm>
                      <a:off x="0" y="0"/>
                      <a:ext cx="1737360" cy="868680"/>
                    </a:xfrm>
                    <a:prstGeom prst="rect"/>
                  </pic:spPr>
                </pic:pic>
              </a:graphicData>
            </a:graphic>
          </wp:inline>
        </w:drawing>
      </w:r>
    </w:p>
    <w:p>
      <w:pPr>
        <w:spacing w:before="0" w:after="40"/>
      </w:pPr>
      <w:r>
        <w:rPr>
          <w:rFonts w:ascii="Calibri" w:hAnsi="Calibri"/>
          <w:b/>
          <w:i w:val="0"/>
          <w:color w:val="2E7D8A"/>
          <w:sz w:val="17"/>
        </w:rPr>
        <w:t>MISSION USA MINISTRY ASSESSMENTS</w:t>
      </w:r>
    </w:p>
    <w:p>
      <w:pPr>
        <w:spacing w:before="0" w:after="20"/>
      </w:pPr>
      <w:r>
        <w:rPr>
          <w:rFonts w:ascii="Georgia" w:hAnsi="Georgia"/>
          <w:b/>
          <w:i w:val="0"/>
          <w:color w:val="1B3A57"/>
          <w:sz w:val="48"/>
        </w:rPr>
        <w:t>Enneagram Type Assessment</w:t>
      </w:r>
    </w:p>
    <w:p>
      <w:pPr>
        <w:spacing w:before="0" w:after="120"/>
      </w:pPr>
      <w:r>
        <w:rPr>
          <w:rFonts w:ascii="Calibri" w:hAnsi="Calibri"/>
          <w:b w:val="0"/>
          <w:i/>
          <w:color w:val="5A6A78"/>
          <w:sz w:val="25"/>
        </w:rPr>
        <w:t>A Redemptive Personality Reflection</w:t>
      </w:r>
    </w:p>
    <w:p>
      <w:pPr>
        <w:spacing w:after="200"/>
        <w:pBdr>
          <w:bottom w:val="single" w:sz="20" w:space="1" w:color="C4923E"/>
        </w:pBdr>
      </w:pPr>
    </w:p>
    <w:p>
      <w:pPr>
        <w:spacing w:before="0" w:after="120"/>
      </w:pPr>
      <w:r>
        <w:rPr>
          <w:rFonts w:ascii="Calibri" w:hAnsi="Calibri"/>
          <w:b w:val="0"/>
          <w:i w:val="0"/>
          <w:color w:val="2A3642"/>
          <w:sz w:val="21"/>
        </w:rPr>
        <w:t>The Enneagram describes nine ways people see and move through the world. Over 36 quick either-or choices, this finds the type that fits you best, then turns it toward Christ, with Scripture and a short devotion written to help you grow, not just get a label.</w:t>
      </w:r>
    </w:p>
    <w:p>
      <w:pPr>
        <w:spacing w:after="160"/>
      </w:pPr>
      <w:r>
        <w:rPr>
          <w:rFonts w:ascii="Calibri" w:hAnsi="Calibri"/>
          <w:b/>
          <w:i w:val="0"/>
          <w:color w:val="2E7D8A"/>
          <w:sz w:val="20"/>
        </w:rPr>
        <w:t>36 questions</w:t>
      </w:r>
      <w:r>
        <w:rPr>
          <w:rFonts w:ascii="Calibri" w:hAnsi="Calibri"/>
          <w:b w:val="0"/>
          <w:i w:val="0"/>
          <w:color w:val="5A6A78"/>
          <w:sz w:val="20"/>
        </w:rPr>
        <w:t xml:space="preserve">   ·   about 10 minutes   ·   Forced-choice type count</w:t>
      </w:r>
    </w:p>
    <w:p>
      <w:pPr>
        <w:spacing w:before="0" w:after="120"/>
      </w:pPr>
      <w:r>
        <w:rPr>
          <w:rFonts w:ascii="Calibri" w:hAnsi="Calibri"/>
          <w:b w:val="0"/>
          <w:i/>
          <w:color w:val="5A6A78"/>
          <w:sz w:val="17"/>
        </w:rPr>
        <w:t>Credit: Uses the historic nine-type Enneagram framework in a forced-choice format. Type descriptions, Scripture, and devotions are Mission USA's own.</w:t>
      </w:r>
    </w:p>
    <w:p>
      <w:pPr>
        <w:spacing w:before="280" w:after="80"/>
      </w:pPr>
      <w:r>
        <w:rPr>
          <w:rFonts w:ascii="Georgia" w:hAnsi="Georgia"/>
          <w:b/>
          <w:i w:val="0"/>
          <w:color w:val="1B3A57"/>
          <w:sz w:val="26"/>
        </w:rPr>
        <w:t>Your information</w:t>
      </w:r>
    </w:p>
    <w:tbl>
      <w:tblPr>
        <w:tblW w:type="auto" w:w="0"/>
        <w:jc w:val="left"/>
        <w:tblLook w:firstColumn="1" w:firstRow="1" w:lastColumn="0" w:lastRow="0" w:noHBand="0" w:noVBand="1" w:val="04A0"/>
        <w:tblBorders>
          <w:top w:val="single" w:sz="4" w:space="0" w:color="E4E9ED"/>
          <w:left w:val="single" w:sz="4" w:space="0" w:color="E4E9ED"/>
          <w:bottom w:val="single" w:sz="4" w:space="0" w:color="E4E9ED"/>
          <w:right w:val="single" w:sz="4" w:space="0" w:color="E4E9ED"/>
          <w:insideH w:val="single" w:sz="4" w:space="0" w:color="E4E9ED"/>
          <w:insideV w:val="single" w:sz="4" w:space="0" w:color="E4E9ED"/>
        </w:tblBorders>
      </w:tblPr>
      <w:tblGrid>
        <w:gridCol w:w="2484"/>
        <w:gridCol w:w="2484"/>
        <w:gridCol w:w="2484"/>
        <w:gridCol w:w="2484"/>
      </w:tblGrid>
      <w:tr>
        <w:tc>
          <w:tcPr>
            <w:tcW w:type="dxa" w:w="1500"/>
          </w:tcPr>
          <w:p>
            <w:r>
              <w:rPr>
                <w:rFonts w:ascii="Calibri" w:hAnsi="Calibri"/>
                <w:b/>
                <w:i w:val="0"/>
                <w:color w:val="5A6A78"/>
                <w:sz w:val="18"/>
              </w:rPr>
              <w:t>Name</w:t>
            </w:r>
          </w:p>
        </w:tc>
        <w:tc>
          <w:tcPr>
            <w:tcW w:type="dxa" w:w="3200"/>
            <w:shd w:fill="F7F9FA"/>
          </w:tcPr>
          <w:p>
            <w:r/>
          </w:p>
        </w:tc>
        <w:tc>
          <w:tcPr>
            <w:tcW w:type="dxa" w:w="1500"/>
          </w:tcPr>
          <w:p>
            <w:r>
              <w:rPr>
                <w:rFonts w:ascii="Calibri" w:hAnsi="Calibri"/>
                <w:b/>
                <w:i w:val="0"/>
                <w:color w:val="5A6A78"/>
                <w:sz w:val="18"/>
              </w:rPr>
              <w:t>Date</w:t>
            </w:r>
          </w:p>
        </w:tc>
        <w:tc>
          <w:tcPr>
            <w:tcW w:type="dxa" w:w="3200"/>
            <w:shd w:fill="F7F9FA"/>
          </w:tcPr>
          <w:p>
            <w:r/>
          </w:p>
        </w:tc>
      </w:tr>
      <w:tr>
        <w:tc>
          <w:tcPr>
            <w:tcW w:type="dxa" w:w="1500"/>
          </w:tcPr>
          <w:p>
            <w:r>
              <w:rPr>
                <w:rFonts w:ascii="Calibri" w:hAnsi="Calibri"/>
                <w:b/>
                <w:i w:val="0"/>
                <w:color w:val="5A6A78"/>
                <w:sz w:val="18"/>
              </w:rPr>
              <w:t>Email</w:t>
            </w:r>
          </w:p>
        </w:tc>
        <w:tc>
          <w:tcPr>
            <w:tcW w:type="dxa" w:w="3200"/>
            <w:shd w:fill="F7F9FA"/>
          </w:tcPr>
          <w:p>
            <w:r/>
          </w:p>
        </w:tc>
        <w:tc>
          <w:tcPr>
            <w:tcW w:type="dxa" w:w="1500"/>
          </w:tcPr>
          <w:p>
            <w:r>
              <w:rPr>
                <w:rFonts w:ascii="Calibri" w:hAnsi="Calibri"/>
                <w:b/>
                <w:i w:val="0"/>
                <w:color w:val="5A6A78"/>
                <w:sz w:val="18"/>
              </w:rPr>
              <w:t>Phone</w:t>
            </w:r>
          </w:p>
        </w:tc>
        <w:tc>
          <w:tcPr>
            <w:tcW w:type="dxa" w:w="3200"/>
            <w:shd w:fill="F7F9FA"/>
          </w:tcPr>
          <w:p>
            <w:r/>
          </w:p>
        </w:tc>
      </w:tr>
      <w:tr>
        <w:tc>
          <w:tcPr>
            <w:tcW w:type="dxa" w:w="1500"/>
          </w:tcPr>
          <w:p>
            <w:r>
              <w:rPr>
                <w:rFonts w:ascii="Calibri" w:hAnsi="Calibri"/>
                <w:b/>
                <w:i w:val="0"/>
                <w:color w:val="5A6A78"/>
                <w:sz w:val="18"/>
              </w:rPr>
              <w:t>Ministry role</w:t>
            </w:r>
          </w:p>
        </w:tc>
        <w:tc>
          <w:tcPr>
            <w:tcW w:type="dxa" w:w="3200"/>
            <w:shd w:fill="F7F9FA"/>
          </w:tcPr>
          <w:p>
            <w:r/>
          </w:p>
        </w:tc>
        <w:tc>
          <w:tcPr>
            <w:tcW w:type="dxa" w:w="1500"/>
          </w:tcPr>
          <w:p>
            <w:r>
              <w:rPr>
                <w:rFonts w:ascii="Calibri" w:hAnsi="Calibri"/>
                <w:b/>
                <w:i w:val="0"/>
                <w:color w:val="5A6A78"/>
                <w:sz w:val="18"/>
              </w:rPr>
              <w:t>Church</w:t>
            </w:r>
          </w:p>
        </w:tc>
        <w:tc>
          <w:tcPr>
            <w:tcW w:type="dxa" w:w="3200"/>
            <w:shd w:fill="F7F9FA"/>
          </w:tcPr>
          <w:p>
            <w:r/>
          </w:p>
        </w:tc>
      </w:tr>
    </w:tbl>
    <w:p>
      <w:pPr>
        <w:spacing w:before="0" w:after="80"/>
      </w:pPr>
    </w:p>
    <w:p>
      <w:pPr>
        <w:spacing w:before="280" w:after="80"/>
      </w:pPr>
      <w:r>
        <w:rPr>
          <w:rFonts w:ascii="Georgia" w:hAnsi="Georgia"/>
          <w:b/>
          <w:i w:val="0"/>
          <w:color w:val="1B3A57"/>
          <w:sz w:val="26"/>
        </w:rPr>
        <w:t>How to fill this out</w:t>
      </w:r>
    </w:p>
    <w:p>
      <w:pPr>
        <w:spacing w:before="0" w:after="120"/>
      </w:pPr>
      <w:r>
        <w:rPr>
          <w:rFonts w:ascii="Calibri" w:hAnsi="Calibri"/>
          <w:b w:val="0"/>
          <w:i w:val="0"/>
          <w:color w:val="2A3642"/>
          <w:sz w:val="21"/>
        </w:rPr>
        <w:t>For each of the pairs below, check the ONE statement that has described you better over most of your life. Go with your gut. There are no right or wrong answers.</w:t>
      </w:r>
    </w:p>
    <w:p>
      <w:pPr>
        <w:spacing w:before="0" w:after="40"/>
      </w:pPr>
    </w:p>
    <w:p>
      <w:pPr>
        <w:spacing w:before="280" w:after="80"/>
      </w:pPr>
      <w:r>
        <w:rPr>
          <w:rFonts w:ascii="Georgia" w:hAnsi="Georgia"/>
          <w:b/>
          <w:i w:val="0"/>
          <w:color w:val="1B3A57"/>
          <w:sz w:val="26"/>
        </w:rPr>
        <w:t>The assessment</w:t>
      </w:r>
    </w:p>
    <w:p>
      <w:pPr>
        <w:spacing w:before="0" w:after="120"/>
      </w:pPr>
      <w:r>
        <w:rPr>
          <w:rFonts w:ascii="Calibri" w:hAnsi="Calibri"/>
          <w:b w:val="0"/>
          <w:i/>
          <w:color w:val="5A6A78"/>
          <w:sz w:val="20"/>
        </w:rPr>
        <w:t>Check A or B for each pair.</w:t>
      </w:r>
    </w:p>
    <w:p>
      <w:pPr>
        <w:spacing w:after="60"/>
      </w:pPr>
      <w:r>
        <w:rPr>
          <w:rFonts w:ascii="Calibri" w:hAnsi="Calibri"/>
          <w:b/>
          <w:i w:val="0"/>
          <w:color w:val="1B3A57"/>
          <w:sz w:val="21"/>
        </w:rPr>
        <w:t xml:space="preserve">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I've been romantic and imaginative.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I have tended to take on confrontations.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I have typically been diplomatic, charming, and ambitious.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I have tended to be focused and intense.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5.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I have been a hospitable person and have enjoyed welcoming new friends into my life.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6.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Generally, it's been easy to "get a rise" out of me.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7.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I've been more of a "street-smart" survivor.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8.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I have needed to show affection to people.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9.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When presented with a new experience, I've usually asked myself if it would be useful to me.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10.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I have tended to focus too much on myself.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11.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Others have depended on my insight and knowledge.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12.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I have come across as being too unsure of myself.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13.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I have been more relationship-oriented than goal-oriented.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14.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I have not been able to speak up for myself very well.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15.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It's been difficult for me to stop considering alternatives and do something definite.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16.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I have tended to be hesitant and procrastinating.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17.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My reluctance to get too involved has gotten me into trouble with people.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18.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Usually, I have been able to put my feelings aside to get the job done.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19.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Generally, I have been methodical and cautious.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20.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I have tended to be a supportive, giving person who enjoys the company of others.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21.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I've often felt the need to be a "pillar of strength."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22.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I've typically been interested in asking tough questions and maintaining my independence.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23.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I've been too hard-nosed and skeptical.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24.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I've often worried that I'm missing out on something better.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25.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My habit of being "stand-offish" has annoyed people.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26.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Usually, when troubles have gotten to me, I have been able to "tune them out."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27.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I have depended upon my friends, and they have known that they can depend on me.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28.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I have tended to be detached and preoccupied.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29.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I have liked to challenge people and "shake them up."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30.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I have generally been an outgoing, sociable person.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31.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I've usually been shy about showing my abilities.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32.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Pursuing my personal interests has been more important to me than having comfort and security.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33.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When I've had conflicts with others, I've tended to withdraw.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34.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I have given in too easily and let others push me around.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35.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I've been appreciated for my unsinkable spirit and great sense of humor.   </w:t>
      </w:r>
    </w:p>
    <w:p>
      <w:pPr>
        <w:spacing w:before="0" w:after="80"/>
      </w:pPr>
      <w:r>
        <w:rPr>
          <w:rFonts w:ascii="Calibri" w:hAnsi="Calibri"/>
          <w:b w:val="0"/>
          <w:i/>
          <w:color w:val="5A6A78"/>
          <w:sz w:val="16"/>
        </w:rPr>
        <w:t xml:space="preserve">      (choose one; the other option is presented in the live assessment)</w:t>
      </w:r>
    </w:p>
    <w:p>
      <w:pPr>
        <w:spacing w:after="60"/>
      </w:pPr>
      <w:r>
        <w:rPr>
          <w:rFonts w:ascii="Calibri" w:hAnsi="Calibri"/>
          <w:b/>
          <w:i w:val="0"/>
          <w:color w:val="1B3A57"/>
          <w:sz w:val="21"/>
        </w:rPr>
        <w:t xml:space="preserve">36.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A. Much of my success has been due to my talent for making a favorable impression.   </w:t>
      </w:r>
    </w:p>
    <w:p>
      <w:pPr>
        <w:spacing w:before="0" w:after="80"/>
      </w:pPr>
      <w:r>
        <w:rPr>
          <w:rFonts w:ascii="Calibri" w:hAnsi="Calibri"/>
          <w:b w:val="0"/>
          <w:i/>
          <w:color w:val="5A6A78"/>
          <w:sz w:val="16"/>
        </w:rPr>
        <w:t xml:space="preserve">      (choose one; the other option is presented in the live assessment)</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p>
      <w:r>
        <w:br w:type="page"/>
      </w:r>
    </w:p>
    <w:p>
      <w:pPr>
        <w:spacing w:before="0" w:after="40"/>
      </w:pPr>
      <w:r>
        <w:rPr>
          <w:rFonts w:ascii="Calibri" w:hAnsi="Calibri"/>
          <w:b/>
          <w:i w:val="0"/>
          <w:color w:val="2E7D8A"/>
          <w:sz w:val="18"/>
        </w:rPr>
        <w:t>SCORING GUIDE</w:t>
      </w:r>
    </w:p>
    <w:p>
      <w:pPr>
        <w:spacing w:before="0" w:after="80"/>
      </w:pPr>
      <w:r>
        <w:rPr>
          <w:rFonts w:ascii="Georgia" w:hAnsi="Georgia"/>
          <w:b/>
          <w:i w:val="0"/>
          <w:color w:val="1B3A57"/>
          <w:sz w:val="36"/>
        </w:rPr>
        <w:t>How to score the Enneagram Type Assessment</w:t>
      </w:r>
    </w:p>
    <w:p>
      <w:pPr>
        <w:spacing w:after="160"/>
        <w:pBdr>
          <w:bottom w:val="single" w:sz="16" w:space="1" w:color="C4923E"/>
        </w:pBdr>
      </w:pPr>
    </w:p>
    <w:p>
      <w:pPr>
        <w:spacing w:before="0" w:after="120"/>
      </w:pPr>
      <w:r>
        <w:rPr>
          <w:rFonts w:ascii="Calibri" w:hAnsi="Calibri"/>
          <w:b w:val="0"/>
          <w:i w:val="0"/>
          <w:color w:val="2A3642"/>
          <w:sz w:val="21"/>
        </w:rPr>
        <w:t>Tally how many times each Enneagram type was chosen. The type with the most picks is your core type; your top three matter, so note the next two as well. (Answer key of which type each option scores toward is in the Markdown spec and the sample PDF.)</w:t>
      </w:r>
    </w:p>
    <w:tbl>
      <w:tblPr>
        <w:tblW w:type="auto" w:w="0"/>
        <w:jc w:val="left"/>
        <w:tblLook w:firstColumn="1" w:firstRow="1" w:lastColumn="0" w:lastRow="0" w:noHBand="0" w:noVBand="1" w:val="04A0"/>
        <w:tblBorders>
          <w:top w:val="single" w:sz="4" w:space="0" w:color="DDE3E8"/>
          <w:left w:val="single" w:sz="4" w:space="0" w:color="DDE3E8"/>
          <w:bottom w:val="single" w:sz="4" w:space="0" w:color="DDE3E8"/>
          <w:right w:val="single" w:sz="4" w:space="0" w:color="DDE3E8"/>
          <w:insideH w:val="single" w:sz="4" w:space="0" w:color="DDE3E8"/>
          <w:insideV w:val="single" w:sz="4" w:space="0" w:color="DDE3E8"/>
        </w:tblBorders>
      </w:tblPr>
      <w:tblGrid>
        <w:gridCol w:w="994"/>
        <w:gridCol w:w="994"/>
        <w:gridCol w:w="994"/>
        <w:gridCol w:w="994"/>
        <w:gridCol w:w="994"/>
        <w:gridCol w:w="994"/>
        <w:gridCol w:w="994"/>
        <w:gridCol w:w="994"/>
        <w:gridCol w:w="994"/>
        <w:gridCol w:w="994"/>
      </w:tblGrid>
      <w:tr>
        <w:tc>
          <w:tcPr>
            <w:tcW w:type="dxa" w:w="1600"/>
            <w:shd w:fill="1B3A57"/>
          </w:tcPr>
          <w:p>
            <w:r>
              <w:rPr>
                <w:rFonts w:ascii="Calibri" w:hAnsi="Calibri"/>
                <w:b/>
                <w:i w:val="0"/>
                <w:color w:val="FFFFFF"/>
                <w:sz w:val="19"/>
              </w:rPr>
              <w:t>Type</w:t>
            </w:r>
          </w:p>
        </w:tc>
        <w:tc>
          <w:tcPr>
            <w:tcW w:type="dxa" w:w="700"/>
            <w:shd w:fill="1B3A57"/>
          </w:tcPr>
          <w:p>
            <w:r>
              <w:rPr>
                <w:rFonts w:ascii="Calibri" w:hAnsi="Calibri"/>
                <w:b/>
                <w:i w:val="0"/>
                <w:color w:val="FFFFFF"/>
                <w:sz w:val="19"/>
              </w:rPr>
              <w:t>1</w:t>
            </w:r>
          </w:p>
        </w:tc>
        <w:tc>
          <w:tcPr>
            <w:tcW w:type="dxa" w:w="700"/>
            <w:shd w:fill="1B3A57"/>
          </w:tcPr>
          <w:p>
            <w:r>
              <w:rPr>
                <w:rFonts w:ascii="Calibri" w:hAnsi="Calibri"/>
                <w:b/>
                <w:i w:val="0"/>
                <w:color w:val="FFFFFF"/>
                <w:sz w:val="19"/>
              </w:rPr>
              <w:t>2</w:t>
            </w:r>
          </w:p>
        </w:tc>
        <w:tc>
          <w:tcPr>
            <w:tcW w:type="dxa" w:w="700"/>
            <w:shd w:fill="1B3A57"/>
          </w:tcPr>
          <w:p>
            <w:r>
              <w:rPr>
                <w:rFonts w:ascii="Calibri" w:hAnsi="Calibri"/>
                <w:b/>
                <w:i w:val="0"/>
                <w:color w:val="FFFFFF"/>
                <w:sz w:val="19"/>
              </w:rPr>
              <w:t>3</w:t>
            </w:r>
          </w:p>
        </w:tc>
        <w:tc>
          <w:tcPr>
            <w:tcW w:type="dxa" w:w="700"/>
            <w:shd w:fill="1B3A57"/>
          </w:tcPr>
          <w:p>
            <w:r>
              <w:rPr>
                <w:rFonts w:ascii="Calibri" w:hAnsi="Calibri"/>
                <w:b/>
                <w:i w:val="0"/>
                <w:color w:val="FFFFFF"/>
                <w:sz w:val="19"/>
              </w:rPr>
              <w:t>4</w:t>
            </w:r>
          </w:p>
        </w:tc>
        <w:tc>
          <w:tcPr>
            <w:tcW w:type="dxa" w:w="700"/>
            <w:shd w:fill="1B3A57"/>
          </w:tcPr>
          <w:p>
            <w:r>
              <w:rPr>
                <w:rFonts w:ascii="Calibri" w:hAnsi="Calibri"/>
                <w:b/>
                <w:i w:val="0"/>
                <w:color w:val="FFFFFF"/>
                <w:sz w:val="19"/>
              </w:rPr>
              <w:t>5</w:t>
            </w:r>
          </w:p>
        </w:tc>
        <w:tc>
          <w:tcPr>
            <w:tcW w:type="dxa" w:w="700"/>
            <w:shd w:fill="1B3A57"/>
          </w:tcPr>
          <w:p>
            <w:r>
              <w:rPr>
                <w:rFonts w:ascii="Calibri" w:hAnsi="Calibri"/>
                <w:b/>
                <w:i w:val="0"/>
                <w:color w:val="FFFFFF"/>
                <w:sz w:val="19"/>
              </w:rPr>
              <w:t>6</w:t>
            </w:r>
          </w:p>
        </w:tc>
        <w:tc>
          <w:tcPr>
            <w:tcW w:type="dxa" w:w="700"/>
            <w:shd w:fill="1B3A57"/>
          </w:tcPr>
          <w:p>
            <w:r>
              <w:rPr>
                <w:rFonts w:ascii="Calibri" w:hAnsi="Calibri"/>
                <w:b/>
                <w:i w:val="0"/>
                <w:color w:val="FFFFFF"/>
                <w:sz w:val="19"/>
              </w:rPr>
              <w:t>7</w:t>
            </w:r>
          </w:p>
        </w:tc>
        <w:tc>
          <w:tcPr>
            <w:tcW w:type="dxa" w:w="700"/>
            <w:shd w:fill="1B3A57"/>
          </w:tcPr>
          <w:p>
            <w:r>
              <w:rPr>
                <w:rFonts w:ascii="Calibri" w:hAnsi="Calibri"/>
                <w:b/>
                <w:i w:val="0"/>
                <w:color w:val="FFFFFF"/>
                <w:sz w:val="19"/>
              </w:rPr>
              <w:t>8</w:t>
            </w:r>
          </w:p>
        </w:tc>
        <w:tc>
          <w:tcPr>
            <w:tcW w:type="dxa" w:w="700"/>
            <w:shd w:fill="1B3A57"/>
          </w:tcPr>
          <w:p>
            <w:r>
              <w:rPr>
                <w:rFonts w:ascii="Calibri" w:hAnsi="Calibri"/>
                <w:b/>
                <w:i w:val="0"/>
                <w:color w:val="FFFFFF"/>
                <w:sz w:val="19"/>
              </w:rPr>
              <w:t>9</w:t>
            </w:r>
          </w:p>
        </w:tc>
      </w:tr>
      <w:tr>
        <w:tc>
          <w:tcPr>
            <w:tcW w:type="dxa" w:w="1600"/>
          </w:tcPr>
          <w:p>
            <w:r>
              <w:rPr>
                <w:rFonts w:ascii="Calibri" w:hAnsi="Calibri"/>
                <w:b/>
                <w:i w:val="0"/>
                <w:color w:val="2A3642"/>
                <w:sz w:val="18"/>
              </w:rPr>
              <w:t>Tally</w:t>
            </w:r>
          </w:p>
        </w:tc>
        <w:tc>
          <w:tcPr>
            <w:tcW w:type="dxa" w:w="700"/>
            <w:shd w:fill="F7F9FA"/>
          </w:tcPr>
          <w:p/>
        </w:tc>
        <w:tc>
          <w:tcPr>
            <w:tcW w:type="dxa" w:w="700"/>
            <w:shd w:fill="F7F9FA"/>
          </w:tcPr>
          <w:p/>
        </w:tc>
        <w:tc>
          <w:tcPr>
            <w:tcW w:type="dxa" w:w="700"/>
            <w:shd w:fill="F7F9FA"/>
          </w:tcPr>
          <w:p/>
        </w:tc>
        <w:tc>
          <w:tcPr>
            <w:tcW w:type="dxa" w:w="700"/>
            <w:shd w:fill="F7F9FA"/>
          </w:tcPr>
          <w:p/>
        </w:tc>
        <w:tc>
          <w:tcPr>
            <w:tcW w:type="dxa" w:w="700"/>
            <w:shd w:fill="F7F9FA"/>
          </w:tcPr>
          <w:p/>
        </w:tc>
        <w:tc>
          <w:tcPr>
            <w:tcW w:type="dxa" w:w="700"/>
            <w:shd w:fill="F7F9FA"/>
          </w:tcPr>
          <w:p/>
        </w:tc>
        <w:tc>
          <w:tcPr>
            <w:tcW w:type="dxa" w:w="700"/>
            <w:shd w:fill="F7F9FA"/>
          </w:tcPr>
          <w:p/>
        </w:tc>
        <w:tc>
          <w:tcPr>
            <w:tcW w:type="dxa" w:w="700"/>
            <w:shd w:fill="F7F9FA"/>
          </w:tcPr>
          <w:p/>
        </w:tc>
        <w:tc>
          <w:tcPr>
            <w:tcW w:type="dxa" w:w="700"/>
            <w:shd w:fill="F7F9FA"/>
          </w:tcPr>
          <w:p/>
        </w:tc>
      </w:tr>
    </w:tbl>
    <w:p>
      <w:pPr>
        <w:spacing w:before="240" w:after="80"/>
      </w:pPr>
      <w:r>
        <w:rPr>
          <w:rFonts w:ascii="Georgia" w:hAnsi="Georgia"/>
          <w:b/>
          <w:i w:val="0"/>
          <w:color w:val="1B3A57"/>
          <w:sz w:val="24"/>
        </w:rPr>
        <w:t>What the online version produces</w:t>
      </w:r>
    </w:p>
    <w:p>
      <w:pPr>
        <w:spacing w:before="0" w:after="80"/>
      </w:pPr>
      <w:r>
        <w:rPr>
          <w:rFonts w:ascii="Calibri" w:hAnsi="Calibri"/>
          <w:b w:val="0"/>
          <w:i w:val="0"/>
          <w:color w:val="2A3642"/>
          <w:sz w:val="20"/>
        </w:rPr>
        <w:t>The report names the core type (e.g., '2 · The Helper'), shows all nine types scored with the top three highlighted, and for the core type gives a redemptive, Christ-centered profile: essence, the gift it brings the body, the watch-out, how it grows, a Scripture, and a short written devotion.</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sectPr w:rsidR="00FC693F" w:rsidRPr="0006063C" w:rsidSect="00034616">
      <w:pgSz w:w="12240" w:h="15840"/>
      <w:pgMar w:top="864"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36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