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drawing>
          <wp:inline xmlns:a="http://schemas.openxmlformats.org/drawingml/2006/main" xmlns:pic="http://schemas.openxmlformats.org/drawingml/2006/picture">
            <wp:extent cx="1737360" cy="868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Calibri" w:hAnsi="Calibri"/>
          <w:b/>
          <w:i w:val="0"/>
          <w:color w:val="2E7D8A"/>
          <w:sz w:val="17"/>
        </w:rPr>
        <w:t>MISSION USA MINISTRY ASSESSMENTS</w:t>
      </w:r>
    </w:p>
    <w:p>
      <w:pPr>
        <w:spacing w:before="0" w:after="20"/>
      </w:pPr>
      <w:r>
        <w:rPr>
          <w:rFonts w:ascii="Georgia" w:hAnsi="Georgia"/>
          <w:b/>
          <w:i w:val="0"/>
          <w:color w:val="1B3A57"/>
          <w:sz w:val="48"/>
        </w:rPr>
        <w:t>Leadership Health — Peer Input</w:t>
      </w:r>
    </w:p>
    <w:p>
      <w:pPr>
        <w:spacing w:before="0" w:after="120"/>
      </w:pPr>
      <w:r>
        <w:rPr>
          <w:rFonts w:ascii="Calibri" w:hAnsi="Calibri"/>
          <w:b w:val="0"/>
          <w:i/>
          <w:color w:val="5A6A78"/>
          <w:sz w:val="25"/>
        </w:rPr>
        <w:t>How you see this leader</w:t>
      </w:r>
    </w:p>
    <w:p>
      <w:pPr>
        <w:spacing w:after="200"/>
        <w:pBdr>
          <w:bottom w:val="single" w:sz="20" w:space="1" w:color="C4923E"/>
        </w:pBdr>
      </w:pPr>
    </w:p>
    <w:p>
      <w:pPr>
        <w:spacing w:after="160"/>
      </w:pPr>
      <w:r>
        <w:rPr>
          <w:rFonts w:ascii="Calibri" w:hAnsi="Calibri"/>
          <w:b/>
          <w:i w:val="0"/>
          <w:color w:val="2E7D8A"/>
          <w:sz w:val="20"/>
        </w:rPr>
        <w:t>8 questions</w:t>
      </w:r>
      <w:r>
        <w:rPr>
          <w:rFonts w:ascii="Calibri" w:hAnsi="Calibri"/>
          <w:b w:val="0"/>
          <w:i w:val="0"/>
          <w:color w:val="5A6A78"/>
          <w:sz w:val="20"/>
        </w:rPr>
        <w:t xml:space="preserve">   ·   about 4 minutes   ·   Co-rater input (feeds a parent report)</w:t>
      </w:r>
    </w:p>
    <w:p>
      <w:pPr>
        <w:spacing w:before="280" w:after="80"/>
      </w:pPr>
      <w:r>
        <w:rPr>
          <w:rFonts w:ascii="Georgia" w:hAnsi="Georgia"/>
          <w:b/>
          <w:i w:val="0"/>
          <w:color w:val="1B3A57"/>
          <w:sz w:val="26"/>
        </w:rPr>
        <w:t>Your information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E9ED"/>
          <w:left w:val="single" w:sz="4" w:space="0" w:color="E4E9ED"/>
          <w:bottom w:val="single" w:sz="4" w:space="0" w:color="E4E9ED"/>
          <w:right w:val="single" w:sz="4" w:space="0" w:color="E4E9ED"/>
          <w:insideH w:val="single" w:sz="4" w:space="0" w:color="E4E9ED"/>
          <w:insideV w:val="single" w:sz="4" w:space="0" w:color="E4E9ED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500"/>
          </w:tcPr>
          <w:p>
            <w:r>
              <w:rPr>
                <w:rFonts w:ascii="Calibri" w:hAnsi="Calibri"/>
                <w:b/>
                <w:i w:val="0"/>
                <w:color w:val="5A6A78"/>
                <w:sz w:val="18"/>
              </w:rPr>
              <w:t>Name</w:t>
            </w:r>
          </w:p>
        </w:tc>
        <w:tc>
          <w:tcPr>
            <w:tcW w:type="dxa" w:w="3200"/>
            <w:shd w:fill="F7F9FA"/>
          </w:tcPr>
          <w:p>
            <w:r/>
          </w:p>
        </w:tc>
        <w:tc>
          <w:tcPr>
            <w:tcW w:type="dxa" w:w="1500"/>
          </w:tcPr>
          <w:p>
            <w:r>
              <w:rPr>
                <w:rFonts w:ascii="Calibri" w:hAnsi="Calibri"/>
                <w:b/>
                <w:i w:val="0"/>
                <w:color w:val="5A6A78"/>
                <w:sz w:val="18"/>
              </w:rPr>
              <w:t>Date</w:t>
            </w:r>
          </w:p>
        </w:tc>
        <w:tc>
          <w:tcPr>
            <w:tcW w:type="dxa" w:w="3200"/>
            <w:shd w:fill="F7F9FA"/>
          </w:tcPr>
          <w:p>
            <w:r/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/>
                <w:i w:val="0"/>
                <w:color w:val="5A6A78"/>
                <w:sz w:val="18"/>
              </w:rPr>
              <w:t>Email</w:t>
            </w:r>
          </w:p>
        </w:tc>
        <w:tc>
          <w:tcPr>
            <w:tcW w:type="dxa" w:w="3200"/>
            <w:shd w:fill="F7F9FA"/>
          </w:tcPr>
          <w:p>
            <w:r/>
          </w:p>
        </w:tc>
        <w:tc>
          <w:tcPr>
            <w:tcW w:type="dxa" w:w="1500"/>
          </w:tcPr>
          <w:p>
            <w:r>
              <w:rPr>
                <w:rFonts w:ascii="Calibri" w:hAnsi="Calibri"/>
                <w:b/>
                <w:i w:val="0"/>
                <w:color w:val="5A6A78"/>
                <w:sz w:val="18"/>
              </w:rPr>
              <w:t>Phone</w:t>
            </w:r>
          </w:p>
        </w:tc>
        <w:tc>
          <w:tcPr>
            <w:tcW w:type="dxa" w:w="3200"/>
            <w:shd w:fill="F7F9FA"/>
          </w:tcPr>
          <w:p>
            <w:r/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/>
                <w:i w:val="0"/>
                <w:color w:val="5A6A78"/>
                <w:sz w:val="18"/>
              </w:rPr>
              <w:t>Ministry role</w:t>
            </w:r>
          </w:p>
        </w:tc>
        <w:tc>
          <w:tcPr>
            <w:tcW w:type="dxa" w:w="3200"/>
            <w:shd w:fill="F7F9FA"/>
          </w:tcPr>
          <w:p>
            <w:r/>
          </w:p>
        </w:tc>
        <w:tc>
          <w:tcPr>
            <w:tcW w:type="dxa" w:w="1500"/>
          </w:tcPr>
          <w:p>
            <w:r>
              <w:rPr>
                <w:rFonts w:ascii="Calibri" w:hAnsi="Calibri"/>
                <w:b/>
                <w:i w:val="0"/>
                <w:color w:val="5A6A78"/>
                <w:sz w:val="18"/>
              </w:rPr>
              <w:t>Church</w:t>
            </w:r>
          </w:p>
        </w:tc>
        <w:tc>
          <w:tcPr>
            <w:tcW w:type="dxa" w:w="3200"/>
            <w:shd w:fill="F7F9FA"/>
          </w:tcPr>
          <w:p>
            <w:r/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Georgia" w:hAnsi="Georgia"/>
          <w:b/>
          <w:i w:val="0"/>
          <w:color w:val="1B3A57"/>
          <w:sz w:val="26"/>
        </w:rPr>
        <w:t>How to fill this out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A3642"/>
          <w:sz w:val="21"/>
        </w:rPr>
        <w:t>You have been asked to give your honest input on someone you know well. Check the box that best matches how true each statement is of them.</w:t>
      </w:r>
    </w:p>
    <w:p>
      <w:pPr>
        <w:spacing w:before="80" w:after="120"/>
      </w:pPr>
      <w:r>
        <w:rPr>
          <w:rFonts w:ascii="Calibri" w:hAnsi="Calibri"/>
          <w:b/>
          <w:i w:val="0"/>
          <w:color w:val="2E7D8A"/>
          <w:sz w:val="20"/>
        </w:rPr>
        <w:t xml:space="preserve">Scale:  </w:t>
      </w:r>
      <w:r>
        <w:rPr>
          <w:rFonts w:ascii="Calibri" w:hAnsi="Calibri"/>
          <w:b w:val="0"/>
          <w:i w:val="0"/>
          <w:color w:val="2A3642"/>
          <w:sz w:val="20"/>
        </w:rPr>
        <w:t>1 = 1   2 = 2   3 = 3   4 = 4   5 = 5</w:t>
      </w:r>
    </w:p>
    <w:p>
      <w:pPr>
        <w:spacing w:before="0" w:after="40"/>
      </w:pPr>
    </w:p>
    <w:p>
      <w:pPr>
        <w:spacing w:before="280" w:after="80"/>
      </w:pPr>
      <w:r>
        <w:rPr>
          <w:rFonts w:ascii="Georgia" w:hAnsi="Georgia"/>
          <w:b/>
          <w:i w:val="0"/>
          <w:color w:val="1B3A57"/>
          <w:sz w:val="26"/>
        </w:rPr>
        <w:t>The assessment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1. </w:t>
      </w:r>
      <w:r>
        <w:rPr>
          <w:rFonts w:ascii="Calibri" w:hAnsi="Calibri"/>
          <w:b w:val="0"/>
          <w:i w:val="0"/>
          <w:color w:val="2A3642"/>
          <w:sz w:val="21"/>
        </w:rPr>
        <w:t>This leader sets a clear direction and helps people move toward it.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2. </w:t>
      </w:r>
      <w:r>
        <w:rPr>
          <w:rFonts w:ascii="Calibri" w:hAnsi="Calibri"/>
          <w:b w:val="0"/>
          <w:i w:val="0"/>
          <w:color w:val="2A3642"/>
          <w:sz w:val="21"/>
        </w:rPr>
        <w:t>This leader makes sound decisions in a timely way.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3. </w:t>
      </w:r>
      <w:r>
        <w:rPr>
          <w:rFonts w:ascii="Calibri" w:hAnsi="Calibri"/>
          <w:b w:val="0"/>
          <w:i w:val="0"/>
          <w:color w:val="2A3642"/>
          <w:sz w:val="21"/>
        </w:rPr>
        <w:t>This leader communicates clearly and listens well.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4. </w:t>
      </w:r>
      <w:r>
        <w:rPr>
          <w:rFonts w:ascii="Calibri" w:hAnsi="Calibri"/>
          <w:b w:val="0"/>
          <w:i w:val="0"/>
          <w:color w:val="2A3642"/>
          <w:sz w:val="21"/>
        </w:rPr>
        <w:t>This leader hands off real responsibility and builds up the team.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5. </w:t>
      </w:r>
      <w:r>
        <w:rPr>
          <w:rFonts w:ascii="Calibri" w:hAnsi="Calibri"/>
          <w:b w:val="0"/>
          <w:i w:val="0"/>
          <w:color w:val="2A3642"/>
          <w:sz w:val="21"/>
        </w:rPr>
        <w:t>This leader stays steady and grounded under pressure.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6. </w:t>
      </w:r>
      <w:r>
        <w:rPr>
          <w:rFonts w:ascii="Calibri" w:hAnsi="Calibri"/>
          <w:b w:val="0"/>
          <w:i w:val="0"/>
          <w:color w:val="2A3642"/>
          <w:sz w:val="21"/>
        </w:rPr>
        <w:t>This leader is trustworthy and owns their mistakes.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7. </w:t>
      </w:r>
      <w:r>
        <w:rPr>
          <w:rFonts w:ascii="Calibri" w:hAnsi="Calibri"/>
          <w:b w:val="0"/>
          <w:i w:val="0"/>
          <w:color w:val="2A3642"/>
          <w:sz w:val="21"/>
        </w:rPr>
        <w:t>This leader handles conflict directly and fairly.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8. </w:t>
      </w:r>
      <w:r>
        <w:rPr>
          <w:rFonts w:ascii="Calibri" w:hAnsi="Calibri"/>
          <w:b w:val="0"/>
          <w:i w:val="0"/>
          <w:color w:val="2A3642"/>
          <w:sz w:val="21"/>
        </w:rPr>
        <w:t>This leader keeps growing and adapts well when things change.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120"/>
        <w:pBdr>
          <w:bottom w:val="single" w:sz="12" w:space="1" w:color="C4923E"/>
        </w:pBdr>
      </w:pPr>
    </w:p>
    <w:p>
      <w:pPr>
        <w:spacing w:before="0" w:after="0"/>
        <w:jc w:val="center"/>
      </w:pPr>
      <w:r>
        <w:rPr>
          <w:rFonts w:ascii="Calibri" w:hAnsi="Calibri"/>
          <w:b w:val="0"/>
          <w:i/>
          <w:color w:val="5A6A78"/>
          <w:sz w:val="18"/>
        </w:rPr>
        <w:t>Assessment by Mission USA of the Congregational Holiness Church. Get yours at assessments.chchurch.com.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i w:val="0"/>
          <w:color w:val="2E7D8A"/>
          <w:sz w:val="18"/>
        </w:rPr>
        <w:t>SCORING GUIDE</w:t>
      </w:r>
    </w:p>
    <w:p>
      <w:pPr>
        <w:spacing w:before="0" w:after="80"/>
      </w:pPr>
      <w:r>
        <w:rPr>
          <w:rFonts w:ascii="Georgia" w:hAnsi="Georgia"/>
          <w:b/>
          <w:i w:val="0"/>
          <w:color w:val="1B3A57"/>
          <w:sz w:val="36"/>
        </w:rPr>
        <w:t>How to score the Leadership Health — Peer Input</w:t>
      </w:r>
    </w:p>
    <w:p>
      <w:pPr>
        <w:spacing w:after="160"/>
        <w:pBdr>
          <w:bottom w:val="single" w:sz="16" w:space="1" w:color="C4923E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2A3642"/>
          <w:sz w:val="21"/>
        </w:rPr>
        <w:t>Average each area (sum the items, divide by the count). Then read the band.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DE3E8"/>
          <w:left w:val="single" w:sz="4" w:space="0" w:color="DDE3E8"/>
          <w:bottom w:val="single" w:sz="4" w:space="0" w:color="DDE3E8"/>
          <w:right w:val="single" w:sz="4" w:space="0" w:color="DDE3E8"/>
          <w:insideH w:val="single" w:sz="4" w:space="0" w:color="DDE3E8"/>
          <w:insideV w:val="single" w:sz="4" w:space="0" w:color="DDE3E8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000"/>
            <w:shd w:fill="1B3A5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Area</w:t>
            </w:r>
          </w:p>
        </w:tc>
        <w:tc>
          <w:tcPr>
            <w:tcW w:type="dxa" w:w="2000"/>
            <w:shd w:fill="1B3A5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Item numbers</w:t>
            </w:r>
          </w:p>
        </w:tc>
        <w:tc>
          <w:tcPr>
            <w:tcW w:type="dxa" w:w="900"/>
            <w:shd w:fill="1B3A5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Sum</w:t>
            </w:r>
          </w:p>
        </w:tc>
        <w:tc>
          <w:tcPr>
            <w:tcW w:type="dxa" w:w="900"/>
            <w:shd w:fill="1B3A5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÷ items</w:t>
            </w:r>
          </w:p>
        </w:tc>
        <w:tc>
          <w:tcPr>
            <w:tcW w:type="dxa" w:w="900"/>
            <w:shd w:fill="1B3A5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Average</w:t>
            </w:r>
          </w:p>
        </w:tc>
        <w:tc>
          <w:tcPr>
            <w:tcW w:type="dxa" w:w="1300"/>
            <w:shd w:fill="1B3A5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Band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Vision &amp; Direction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1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Decision-Making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2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Communication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3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Delegation &amp; Team Building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4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Emotional &amp; Spiritual Resilience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5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Integrity &amp; Accountability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6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Conflict Navigation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7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Growth &amp; Adaptability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8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</w:tbl>
    <w:p>
      <w:pPr>
        <w:spacing w:before="120" w:after="60"/>
      </w:pPr>
      <w:r>
        <w:rPr>
          <w:rFonts w:ascii="Calibri" w:hAnsi="Calibri"/>
          <w:b/>
          <w:i w:val="0"/>
          <w:color w:val="1B3A57"/>
          <w:sz w:val="21"/>
        </w:rPr>
        <w:t>Bands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DE3E8"/>
          <w:left w:val="single" w:sz="4" w:space="0" w:color="DDE3E8"/>
          <w:bottom w:val="single" w:sz="4" w:space="0" w:color="DDE3E8"/>
          <w:right w:val="single" w:sz="4" w:space="0" w:color="DDE3E8"/>
          <w:insideH w:val="single" w:sz="4" w:space="0" w:color="DDE3E8"/>
          <w:insideV w:val="single" w:sz="4" w:space="0" w:color="DDE3E8"/>
        </w:tblBorders>
      </w:tblPr>
      <w:tblGrid>
        <w:gridCol w:w="4968"/>
        <w:gridCol w:w="4968"/>
      </w:tblGrid>
      <w:tr>
        <w:tc>
          <w:tcPr>
            <w:tcW w:type="dxa" w:w="2600"/>
            <w:shd w:fill="1B3A5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Band</w:t>
            </w:r>
          </w:p>
        </w:tc>
        <w:tc>
          <w:tcPr>
            <w:tcW w:type="dxa" w:w="2600"/>
            <w:shd w:fill="1B3A5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Cutoff (average)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hAnsi="Calibri"/>
                <w:b/>
                <w:i w:val="0"/>
                <w:color w:val="2A3642"/>
                <w:sz w:val="19"/>
              </w:rPr>
              <w:t>Strength</w:t>
            </w:r>
          </w:p>
        </w:tc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A3642"/>
                <w:sz w:val="19"/>
              </w:rPr>
              <w:t>4 and up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hAnsi="Calibri"/>
                <w:b/>
                <w:i w:val="0"/>
                <w:color w:val="2A3642"/>
                <w:sz w:val="19"/>
              </w:rPr>
              <w:t>Steady</w:t>
            </w:r>
          </w:p>
        </w:tc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A3642"/>
                <w:sz w:val="19"/>
              </w:rPr>
              <w:t>2.75 and up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hAnsi="Calibri"/>
                <w:b/>
                <w:i w:val="0"/>
                <w:color w:val="2A3642"/>
                <w:sz w:val="19"/>
              </w:rPr>
              <w:t>Needs Attention</w:t>
            </w:r>
          </w:p>
        </w:tc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A3642"/>
                <w:sz w:val="19"/>
              </w:rPr>
              <w:t>0 and up</w:t>
            </w:r>
          </w:p>
        </w:tc>
      </w:tr>
    </w:tbl>
    <w:p>
      <w:pPr>
        <w:spacing w:before="120" w:after="120"/>
      </w:pPr>
      <w:r>
        <w:rPr>
          <w:rFonts w:ascii="Calibri" w:hAnsi="Calibri"/>
          <w:b w:val="0"/>
          <w:i/>
          <w:color w:val="5A6A78"/>
          <w:sz w:val="20"/>
        </w:rPr>
        <w:t>These averages sit next to the primary person's own scores in the Leadership Health report.</w:t>
      </w:r>
    </w:p>
    <w:p>
      <w:pPr>
        <w:spacing w:before="240" w:after="80"/>
      </w:pPr>
      <w:r>
        <w:rPr>
          <w:rFonts w:ascii="Georgia" w:hAnsi="Georgia"/>
          <w:b/>
          <w:i w:val="0"/>
          <w:color w:val="1B3A57"/>
          <w:sz w:val="24"/>
        </w:rPr>
        <w:t>What the online version produces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A3642"/>
          <w:sz w:val="20"/>
        </w:rPr>
        <w:t>There is no separate report for this instrument. Its scores appear inside the Leadership Health report as a second (and third) column next to the primary taker's self-assessment. The gap between self-view and observer-view is the insight.</w:t>
      </w:r>
    </w:p>
    <w:p>
      <w:pPr>
        <w:spacing w:after="120"/>
        <w:pBdr>
          <w:bottom w:val="single" w:sz="12" w:space="1" w:color="C4923E"/>
        </w:pBdr>
      </w:pPr>
    </w:p>
    <w:p>
      <w:pPr>
        <w:spacing w:before="0" w:after="0"/>
        <w:jc w:val="center"/>
      </w:pPr>
      <w:r>
        <w:rPr>
          <w:rFonts w:ascii="Calibri" w:hAnsi="Calibri"/>
          <w:b w:val="0"/>
          <w:i/>
          <w:color w:val="5A6A78"/>
          <w:sz w:val="18"/>
        </w:rPr>
        <w:t>Assessment by Mission USA of the Congregational Holiness Church. Get yours at assessments.chchurch.com.</w:t>
      </w:r>
    </w:p>
    <w:sectPr w:rsidR="00FC693F" w:rsidRPr="0006063C" w:rsidSect="00034616">
      <w:pgSz w:w="12240" w:h="15840"/>
      <w:pgMar w:top="864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36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