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6325C"/>
          <w:sz w:val="44"/>
          <w:szCs w:val="44"/>
        </w:rPr>
        <w:t xml:space="preserve">Alliance Client Portal</w:t>
      </w:r>
    </w:p>
    <w:p>
      <w:pPr>
        <w:spacing w:after="60"/>
      </w:pPr>
      <w:r>
        <w:rPr>
          <w:color w:val="54698D"/>
          <w:sz w:val="26"/>
          <w:szCs w:val="26"/>
        </w:rPr>
        <w:t xml:space="preserve">Deployment &amp; Integration Brief — for review with your Salesforce administrator</w:t>
      </w:r>
    </w:p>
    <w:p>
      <w:pPr>
        <w:spacing w:after="300"/>
      </w:pPr>
      <w:r>
        <w:rPr>
          <w:i/>
          <w:iCs/>
          <w:color w:val="6B7D99"/>
          <w:sz w:val="20"/>
          <w:szCs w:val="20"/>
        </w:rPr>
        <w:t xml:space="preserve">Prepared 29 July 2026 · Source branch: claude/salesforce-portal-build-ikpfyu</w:t>
      </w:r>
    </w:p>
    <w:p>
      <w:pPr>
        <w:pStyle w:val="Heading1"/>
        <w:spacing w:after="160" w:before="360"/>
      </w:pPr>
      <w:r>
        <w:t xml:space="preserve">1. Purpose of this document</w:t>
      </w:r>
    </w:p>
    <w:p>
      <w:pPr>
        <w:spacing w:after="160"/>
      </w:pPr>
      <w:r>
        <w:t xml:space="preserve">This portal (Home dashboard, Request Staff, My Requests, Calendar, Reporting, Invoices, Support/Query) has been fully built as a Salesforce DX source-format project and deployed for testing in a separate Salesforce org. It has not yet been deployed into the org that already runs Bullhorn (workforce/recruitment) and 2Cloud9 (invoicing/payroll).</w:t>
      </w:r>
    </w:p>
    <w:p>
      <w:pPr>
        <w:spacing w:after="160"/>
      </w:pPr>
      <w:r>
        <w:t xml:space="preserve">This document is a complete inventory of everything the build adds — objects, fields, Apex classes, Lightning Web Components, and configuration — plus the specific questions your Salesforce administrator should work through with the Bullhorn/2Cloud9 integration owner before deploying, so the two existing systems and this new portal do not end up duplicating or conflicting with each other’s data. It also documents a real sharing-configuration limitation this build discovered and worked around (Section 5, item 8) that is worth checking for elsewhere in the org.</w:t>
      </w:r>
    </w:p>
    <w:p>
      <w:pPr>
        <w:pStyle w:val="Heading1"/>
        <w:spacing w:after="160" w:before="360"/>
      </w:pPr>
      <w:r>
        <w:t xml:space="preserve">2. Current build status</w:t>
      </w:r>
    </w:p>
    <w:p>
      <w:pPr>
        <w:pStyle w:val="ListParagraph"/>
        <w:numPr>
          <w:ilvl w:val="0"/>
          <w:numId w:val="1"/>
        </w:numPr>
        <w:spacing w:after="100"/>
      </w:pPr>
      <w:r>
        <w:t xml:space="preserve">Fully built: all objects/fields, Apex classes, and Lightning Web Components listed in Section 3 exist and are complete, including a new Reporting screen and an expanded Role list added since the last review.</w:t>
      </w:r>
    </w:p>
    <w:p>
      <w:pPr>
        <w:pStyle w:val="ListParagraph"/>
        <w:numPr>
          <w:ilvl w:val="0"/>
          <w:numId w:val="1"/>
        </w:numPr>
        <w:spacing w:after="100"/>
      </w:pPr>
      <w:r>
        <w:t xml:space="preserve">Deployed and manually tested in a separate (non-production) Salesforce org, including a live Experience Cloud site.</w:t>
      </w:r>
    </w:p>
    <w:p>
      <w:pPr>
        <w:pStyle w:val="ListParagraph"/>
        <w:numPr>
          <w:ilvl w:val="0"/>
          <w:numId w:val="1"/>
        </w:numPr>
        <w:spacing w:after="100"/>
      </w:pPr>
      <w:r>
        <w:t xml:space="preserve">142 automated front-end tests (Jest) pass, covering every component’s logic — see Section 9.</w:t>
      </w:r>
    </w:p>
    <w:p>
      <w:pPr>
        <w:pStyle w:val="ListParagraph"/>
        <w:numPr>
          <w:ilvl w:val="0"/>
          <w:numId w:val="1"/>
        </w:numPr>
        <w:spacing w:after="100"/>
      </w:pPr>
      <w:r>
        <w:t xml:space="preserve">Since the last review: Priority was narrowed from four values (Low/Medium/High/Urgent) to two (Standard/Urgent), Urgent requests are now visually highlighted in My Requests, My Requests/Reporting/Invoices all gained a mobile-friendly card layout below phone/tablet width, and a real mobile bug (PDF/CSV downloads silently failing on iOS Safari) was found and fixed — see Sections 3.1 and 3.3.</w:t>
      </w:r>
    </w:p>
    <w:p>
      <w:pPr>
        <w:pStyle w:val="ListParagraph"/>
        <w:numPr>
          <w:ilvl w:val="0"/>
          <w:numId w:val="1"/>
        </w:numPr>
        <w:spacing w:after="100"/>
      </w:pPr>
      <w:r>
        <w:t xml:space="preserve">Apex tests have now been run against that connected org for the first time (not just this build environment). That run surfaced three genuine issues, all since fixed — see Section 9 for the full account and the recommended next step.</w:t>
      </w:r>
    </w:p>
    <w:p>
      <w:pPr>
        <w:pStyle w:val="ListParagraph"/>
        <w:numPr>
          <w:ilvl w:val="0"/>
          <w:numId w:val="1"/>
        </w:numPr>
        <w:spacing w:after="100"/>
      </w:pPr>
      <w:r>
        <w:t xml:space="preserve">Not yet deployed anywhere that runs Bullhorn or 2Cloud9. The integration points to both systems are intentionally mocked (fake placeholder data) rather than connected — see Section 5, which is the main reason this document exists.</w:t>
      </w:r>
    </w:p>
    <w:p>
      <w:pPr>
        <w:pStyle w:val="Heading1"/>
        <w:spacing w:after="160" w:before="360"/>
      </w:pPr>
      <w:r>
        <w:t xml:space="preserve">3. Component inventory</w:t>
      </w:r>
    </w:p>
    <w:p>
      <w:pPr>
        <w:pStyle w:val="Heading2"/>
        <w:spacing w:after="120" w:before="280"/>
      </w:pPr>
      <w:r>
        <w:t xml:space="preserve">3.1 Custom objects &amp; fields</w:t>
      </w:r>
    </w:p>
    <w:p>
      <w:pPr>
        <w:spacing w:after="160"/>
      </w:pPr>
      <w:r>
        <w:t xml:space="preserve">All child objects are Master-Detail to their parent, so read access follows the parent record automatically ("Controlled by Parent") — no extra Apex sharing code was needed for these relationships. One real limitation of that model was found and worked around — see Section 5, item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2626"/>
      </w:tblGrid>
      <w:tr>
        <w:trPr>
          <w:tblHeader/>
        </w:trPr>
        <w:tc>
          <w:tcPr>
            <w:tcW w:type="dxa" w:w="1500"/>
            <w:shd w:fill="16325C" w:val="clear"/>
            <w:tcMar>
              <w:top w:type="dxa" w:w="80"/>
              <w:left w:type="dxa" w:w="100"/>
              <w:bottom w:type="dxa" w:w="80"/>
              <w:right w:type="dxa" w:w="100"/>
            </w:tcMar>
          </w:tcPr>
          <w:p>
            <w:r>
              <w:rPr>
                <w:b/>
                <w:bCs/>
                <w:color w:val="FFFFFF"/>
                <w:sz w:val="19"/>
                <w:szCs w:val="19"/>
              </w:rPr>
              <w:t xml:space="preserve">Object</w:t>
            </w:r>
          </w:p>
        </w:tc>
        <w:tc>
          <w:tcPr>
            <w:tcW w:type="dxa" w:w="1700"/>
            <w:shd w:fill="16325C" w:val="clear"/>
            <w:tcMar>
              <w:top w:type="dxa" w:w="80"/>
              <w:left w:type="dxa" w:w="100"/>
              <w:bottom w:type="dxa" w:w="80"/>
              <w:right w:type="dxa" w:w="100"/>
            </w:tcMar>
          </w:tcPr>
          <w:p>
            <w:r>
              <w:rPr>
                <w:b/>
                <w:bCs/>
                <w:color w:val="FFFFFF"/>
                <w:sz w:val="19"/>
                <w:szCs w:val="19"/>
              </w:rPr>
              <w:t xml:space="preserve">Relationship</w:t>
            </w:r>
          </w:p>
        </w:tc>
        <w:tc>
          <w:tcPr>
            <w:tcW w:type="dxa" w:w="3200"/>
            <w:shd w:fill="16325C" w:val="clear"/>
            <w:tcMar>
              <w:top w:type="dxa" w:w="80"/>
              <w:left w:type="dxa" w:w="100"/>
              <w:bottom w:type="dxa" w:w="80"/>
              <w:right w:type="dxa" w:w="100"/>
            </w:tcMar>
          </w:tcPr>
          <w:p>
            <w:r>
              <w:rPr>
                <w:b/>
                <w:bCs/>
                <w:color w:val="FFFFFF"/>
                <w:sz w:val="19"/>
                <w:szCs w:val="19"/>
              </w:rPr>
              <w:t xml:space="preserve">Key fields</w:t>
            </w:r>
          </w:p>
        </w:tc>
        <w:tc>
          <w:tcPr>
            <w:tcW w:type="dxa" w:w="2626"/>
            <w:shd w:fill="16325C" w:val="clear"/>
            <w:tcMar>
              <w:top w:type="dxa" w:w="80"/>
              <w:left w:type="dxa" w:w="100"/>
              <w:bottom w:type="dxa" w:w="80"/>
              <w:right w:type="dxa" w:w="100"/>
            </w:tcMar>
          </w:tcPr>
          <w:p>
            <w:r>
              <w:rPr>
                <w:b/>
                <w:bCs/>
                <w:color w:val="FFFFFF"/>
                <w:sz w:val="19"/>
                <w:szCs w:val="19"/>
              </w:rPr>
              <w:t xml:space="preserve">Purpose</w:t>
            </w:r>
          </w:p>
        </w:tc>
      </w:tr>
      <w:tr>
        <w:tc>
          <w:tcPr>
            <w:tcW w:type="dxa" w:w="1500"/>
            <w:tcMar>
              <w:top w:type="dxa" w:w="80"/>
              <w:left w:type="dxa" w:w="100"/>
              <w:bottom w:type="dxa" w:w="80"/>
              <w:right w:type="dxa" w:w="100"/>
            </w:tcMar>
          </w:tcPr>
          <w:p>
            <w:r>
              <w:rPr>
                <w:sz w:val="19"/>
                <w:szCs w:val="19"/>
              </w:rPr>
              <w:t xml:space="preserve">Facility__c</w:t>
            </w:r>
          </w:p>
        </w:tc>
        <w:tc>
          <w:tcPr>
            <w:tcW w:type="dxa" w:w="1700"/>
            <w:tcMar>
              <w:top w:type="dxa" w:w="80"/>
              <w:left w:type="dxa" w:w="100"/>
              <w:bottom w:type="dxa" w:w="80"/>
              <w:right w:type="dxa" w:w="100"/>
            </w:tcMar>
          </w:tcPr>
          <w:p>
            <w:r>
              <w:rPr>
                <w:sz w:val="19"/>
                <w:szCs w:val="19"/>
              </w:rPr>
              <w:t xml:space="preserve">Master-Detail → Account</w:t>
            </w:r>
          </w:p>
        </w:tc>
        <w:tc>
          <w:tcPr>
            <w:tcW w:type="dxa" w:w="3200"/>
            <w:tcMar>
              <w:top w:type="dxa" w:w="80"/>
              <w:left w:type="dxa" w:w="100"/>
              <w:bottom w:type="dxa" w:w="80"/>
              <w:right w:type="dxa" w:w="100"/>
            </w:tcMar>
          </w:tcPr>
          <w:p>
            <w:r>
              <w:rPr>
                <w:sz w:val="19"/>
                <w:szCs w:val="19"/>
              </w:rPr>
              <w:t xml:space="preserve">Facility_Type__c (Hospital / Aged Care / Corporate), Address_Street__c, Address_Suburb__c, Address_State__c, Address_Postcode__c, Active__c</w:t>
            </w:r>
          </w:p>
        </w:tc>
        <w:tc>
          <w:tcPr>
            <w:tcW w:type="dxa" w:w="2626"/>
            <w:tcMar>
              <w:top w:type="dxa" w:w="80"/>
              <w:left w:type="dxa" w:w="100"/>
              <w:bottom w:type="dxa" w:w="80"/>
              <w:right w:type="dxa" w:w="100"/>
            </w:tcMar>
          </w:tcPr>
          <w:p>
            <w:r>
              <w:rPr>
                <w:sz w:val="19"/>
                <w:szCs w:val="19"/>
              </w:rPr>
              <w:t xml:space="preserve">A client site under an Account (e.g. a specific hospital or aged care facility).</w:t>
            </w:r>
          </w:p>
        </w:tc>
      </w:tr>
      <w:tr>
        <w:tc>
          <w:tcPr>
            <w:tcW w:type="dxa" w:w="1500"/>
            <w:tcMar>
              <w:top w:type="dxa" w:w="80"/>
              <w:left w:type="dxa" w:w="100"/>
              <w:bottom w:type="dxa" w:w="80"/>
              <w:right w:type="dxa" w:w="100"/>
            </w:tcMar>
          </w:tcPr>
          <w:p>
            <w:r>
              <w:rPr>
                <w:sz w:val="19"/>
                <w:szCs w:val="19"/>
              </w:rPr>
              <w:t xml:space="preserve">Ward__c</w:t>
            </w:r>
          </w:p>
        </w:tc>
        <w:tc>
          <w:tcPr>
            <w:tcW w:type="dxa" w:w="1700"/>
            <w:tcMar>
              <w:top w:type="dxa" w:w="80"/>
              <w:left w:type="dxa" w:w="100"/>
              <w:bottom w:type="dxa" w:w="80"/>
              <w:right w:type="dxa" w:w="100"/>
            </w:tcMar>
          </w:tcPr>
          <w:p>
            <w:r>
              <w:rPr>
                <w:sz w:val="19"/>
                <w:szCs w:val="19"/>
              </w:rPr>
              <w:t xml:space="preserve">Master-Detail → Facility__c</w:t>
            </w:r>
          </w:p>
        </w:tc>
        <w:tc>
          <w:tcPr>
            <w:tcW w:type="dxa" w:w="3200"/>
            <w:tcMar>
              <w:top w:type="dxa" w:w="80"/>
              <w:left w:type="dxa" w:w="100"/>
              <w:bottom w:type="dxa" w:w="80"/>
              <w:right w:type="dxa" w:w="100"/>
            </w:tcMar>
          </w:tcPr>
          <w:p>
            <w:r>
              <w:rPr>
                <w:sz w:val="19"/>
                <w:szCs w:val="19"/>
              </w:rPr>
              <w:t xml:space="preserve">Name (standard field only)</w:t>
            </w:r>
          </w:p>
        </w:tc>
        <w:tc>
          <w:tcPr>
            <w:tcW w:type="dxa" w:w="2626"/>
            <w:tcMar>
              <w:top w:type="dxa" w:w="80"/>
              <w:left w:type="dxa" w:w="100"/>
              <w:bottom w:type="dxa" w:w="80"/>
              <w:right w:type="dxa" w:w="100"/>
            </w:tcMar>
          </w:tcPr>
          <w:p>
            <w:r>
              <w:rPr>
                <w:sz w:val="19"/>
                <w:szCs w:val="19"/>
              </w:rPr>
              <w:t xml:space="preserve">Optional sub-location within a facility. Not every facility has wards; the picker degrades gracefully when none exist.</w:t>
            </w:r>
          </w:p>
        </w:tc>
      </w:tr>
      <w:tr>
        <w:tc>
          <w:tcPr>
            <w:tcW w:type="dxa" w:w="1500"/>
            <w:tcMar>
              <w:top w:type="dxa" w:w="80"/>
              <w:left w:type="dxa" w:w="100"/>
              <w:bottom w:type="dxa" w:w="80"/>
              <w:right w:type="dxa" w:w="100"/>
            </w:tcMar>
          </w:tcPr>
          <w:p>
            <w:r>
              <w:rPr>
                <w:sz w:val="19"/>
                <w:szCs w:val="19"/>
              </w:rPr>
              <w:t xml:space="preserve">Staffing_Request__c</w:t>
            </w:r>
          </w:p>
        </w:tc>
        <w:tc>
          <w:tcPr>
            <w:tcW w:type="dxa" w:w="1700"/>
            <w:tcMar>
              <w:top w:type="dxa" w:w="80"/>
              <w:left w:type="dxa" w:w="100"/>
              <w:bottom w:type="dxa" w:w="80"/>
              <w:right w:type="dxa" w:w="100"/>
            </w:tcMar>
          </w:tcPr>
          <w:p>
            <w:r>
              <w:rPr>
                <w:sz w:val="19"/>
                <w:szCs w:val="19"/>
              </w:rPr>
              <w:t xml:space="preserve">Master-Detail → Facility__c; optional lookup → Ward__c; lookup → Contact (Requested_By_Contact__c)</w:t>
            </w:r>
          </w:p>
        </w:tc>
        <w:tc>
          <w:tcPr>
            <w:tcW w:type="dxa" w:w="3200"/>
            <w:tcMar>
              <w:top w:type="dxa" w:w="80"/>
              <w:left w:type="dxa" w:w="100"/>
              <w:bottom w:type="dxa" w:w="80"/>
              <w:right w:type="dxa" w:w="100"/>
            </w:tcMar>
          </w:tcPr>
          <w:p>
            <w:r>
              <w:rPr>
                <w:sz w:val="19"/>
                <w:szCs w:val="19"/>
              </w:rPr>
              <w:t xml:space="preserve">Role__c (restricted picklist — see below), Specialty__c, Shift_Date__c, Start_Time__c, End_Time__c, Quantity__c, Priority__c, Notes__c, Status__c (Submitted / Being Worked / Broadcasted / Filled / Unable to Fill / Cancelled), Broadcasted_Date__c, Last_Status_Update__c, Assigned_Contact__c, Cancellation_Requested__c, External_Demand_Id__c</w:t>
            </w:r>
          </w:p>
        </w:tc>
        <w:tc>
          <w:tcPr>
            <w:tcW w:type="dxa" w:w="2626"/>
            <w:tcMar>
              <w:top w:type="dxa" w:w="80"/>
              <w:left w:type="dxa" w:w="100"/>
              <w:bottom w:type="dxa" w:w="80"/>
              <w:right w:type="dxa" w:w="100"/>
            </w:tcMar>
          </w:tcPr>
          <w:p>
            <w:r>
              <w:rPr>
                <w:sz w:val="19"/>
                <w:szCs w:val="19"/>
              </w:rPr>
              <w:t xml:space="preserve">The core record: a client’s shift/staff demand request. This is the object most likely to overlap with Bullhorn’s own data — see Section 5.</w:t>
            </w:r>
          </w:p>
        </w:tc>
      </w:tr>
      <w:tr>
        <w:tc>
          <w:tcPr>
            <w:tcW w:type="dxa" w:w="1500"/>
            <w:tcMar>
              <w:top w:type="dxa" w:w="80"/>
              <w:left w:type="dxa" w:w="100"/>
              <w:bottom w:type="dxa" w:w="80"/>
              <w:right w:type="dxa" w:w="100"/>
            </w:tcMar>
          </w:tcPr>
          <w:p>
            <w:r>
              <w:rPr>
                <w:sz w:val="19"/>
                <w:szCs w:val="19"/>
              </w:rPr>
              <w:t xml:space="preserve">Invoice__c</w:t>
            </w:r>
          </w:p>
        </w:tc>
        <w:tc>
          <w:tcPr>
            <w:tcW w:type="dxa" w:w="1700"/>
            <w:tcMar>
              <w:top w:type="dxa" w:w="80"/>
              <w:left w:type="dxa" w:w="100"/>
              <w:bottom w:type="dxa" w:w="80"/>
              <w:right w:type="dxa" w:w="100"/>
            </w:tcMar>
          </w:tcPr>
          <w:p>
            <w:r>
              <w:rPr>
                <w:sz w:val="19"/>
                <w:szCs w:val="19"/>
              </w:rPr>
              <w:t xml:space="preserve">Master-Detail → Account</w:t>
            </w:r>
          </w:p>
        </w:tc>
        <w:tc>
          <w:tcPr>
            <w:tcW w:type="dxa" w:w="3200"/>
            <w:tcMar>
              <w:top w:type="dxa" w:w="80"/>
              <w:left w:type="dxa" w:w="100"/>
              <w:bottom w:type="dxa" w:w="80"/>
              <w:right w:type="dxa" w:w="100"/>
            </w:tcMar>
          </w:tcPr>
          <w:p>
            <w:r>
              <w:rPr>
                <w:sz w:val="19"/>
                <w:szCs w:val="19"/>
              </w:rPr>
              <w:t xml:space="preserve">Invoice_Number__c, Invoice_Date__c, Due_Date__c, Amount__c, Status__c (Issued / Paid / Overdue), External_Invoice_Id__c</w:t>
            </w:r>
          </w:p>
        </w:tc>
        <w:tc>
          <w:tcPr>
            <w:tcW w:type="dxa" w:w="2626"/>
            <w:tcMar>
              <w:top w:type="dxa" w:w="80"/>
              <w:left w:type="dxa" w:w="100"/>
              <w:bottom w:type="dxa" w:w="80"/>
              <w:right w:type="dxa" w:w="100"/>
            </w:tcMar>
          </w:tcPr>
          <w:p>
            <w:r>
              <w:rPr>
                <w:sz w:val="19"/>
                <w:szCs w:val="19"/>
              </w:rPr>
              <w:t xml:space="preserve">Read-only invoice record in this phase. PDF attaches via standard ContentVersion/ContentDocumentLink, not a custom field. Likely overlap with 2Cloud9 — see Section 5.</w:t>
            </w:r>
          </w:p>
        </w:tc>
      </w:tr>
      <w:tr>
        <w:tc>
          <w:tcPr>
            <w:tcW w:type="dxa" w:w="1500"/>
            <w:tcMar>
              <w:top w:type="dxa" w:w="80"/>
              <w:left w:type="dxa" w:w="100"/>
              <w:bottom w:type="dxa" w:w="80"/>
              <w:right w:type="dxa" w:w="100"/>
            </w:tcMar>
          </w:tcPr>
          <w:p>
            <w:r>
              <w:rPr>
                <w:sz w:val="19"/>
                <w:szCs w:val="19"/>
              </w:rPr>
              <w:t xml:space="preserve">Case (standard object, extended)</w:t>
            </w:r>
          </w:p>
        </w:tc>
        <w:tc>
          <w:tcPr>
            <w:tcW w:type="dxa" w:w="1700"/>
            <w:tcMar>
              <w:top w:type="dxa" w:w="80"/>
              <w:left w:type="dxa" w:w="100"/>
              <w:bottom w:type="dxa" w:w="80"/>
              <w:right w:type="dxa" w:w="100"/>
            </w:tcMar>
          </w:tcPr>
          <w:p>
            <w:r>
              <w:rPr>
                <w:sz w:val="19"/>
                <w:szCs w:val="19"/>
              </w:rPr>
              <w:t xml:space="preserve">n/a — two fields added to the standard object</w:t>
            </w:r>
          </w:p>
        </w:tc>
        <w:tc>
          <w:tcPr>
            <w:tcW w:type="dxa" w:w="3200"/>
            <w:tcMar>
              <w:top w:type="dxa" w:w="80"/>
              <w:left w:type="dxa" w:w="100"/>
              <w:bottom w:type="dxa" w:w="80"/>
              <w:right w:type="dxa" w:w="100"/>
            </w:tcMar>
          </w:tcPr>
          <w:p>
            <w:r>
              <w:rPr>
                <w:sz w:val="19"/>
                <w:szCs w:val="19"/>
              </w:rPr>
              <w:t xml:space="preserve">Portal_Request_Type__c (General Query / Cancellation Request), Related_Staffing_Request__c (lookup → Staffing_Request__c)</w:t>
            </w:r>
          </w:p>
        </w:tc>
        <w:tc>
          <w:tcPr>
            <w:tcW w:type="dxa" w:w="2626"/>
            <w:tcMar>
              <w:top w:type="dxa" w:w="80"/>
              <w:left w:type="dxa" w:w="100"/>
              <w:bottom w:type="dxa" w:w="80"/>
              <w:right w:type="dxa" w:w="100"/>
            </w:tcMar>
          </w:tcPr>
          <w:p>
            <w:r>
              <w:rPr>
                <w:sz w:val="19"/>
                <w:szCs w:val="19"/>
              </w:rPr>
              <w:t xml:space="preserve">Reuses the standard Case object for the Support/Query screen and for cancellation requests submitted from My Requests, rather than introducing a new custom object.</w:t>
            </w:r>
          </w:p>
        </w:tc>
      </w:tr>
    </w:tbl>
    <w:p>
      <w:pPr>
        <w:spacing w:after="160"/>
      </w:pPr>
      <w:r>
        <w:t xml:space="preserve">Two fields worth calling out specifically:</w:t>
      </w:r>
    </w:p>
    <w:p>
      <w:pPr>
        <w:pStyle w:val="ListParagraph"/>
        <w:numPr>
          <w:ilvl w:val="0"/>
          <w:numId w:val="1"/>
        </w:numPr>
        <w:spacing w:after="100"/>
      </w:pPr>
      <w:r>
        <w:t xml:space="preserve">Assigned_Contact__c — a plain text field (not a Contact lookup, since the individual actually completing a shift is a Bullhorn candidate, not a Contact record in this org), filled in by internal staff once a shift is filled. Read-only to the portal; shown in My Requests and included in the Filled/Unable to Fill/Cancelled notification emails whenever it’s populated.</w:t>
      </w:r>
    </w:p>
    <w:p>
      <w:pPr>
        <w:pStyle w:val="ListParagraph"/>
        <w:numPr>
          <w:ilvl w:val="0"/>
          <w:numId w:val="1"/>
        </w:numPr>
        <w:spacing w:after="100"/>
      </w:pPr>
      <w:r>
        <w:t xml:space="preserve">Role__c — a restricted picklist with 16 values: Clinical Nurse, Registered Nurse, Registered Midwife, Enrolled Nurse, Nursing Assistant (AIN), Personal Care Assistant, Kitchen Hand, Pantry, Food Services Assistant, Cleaner, Laundry, Assistant Cook, Cook, Chef, Head Chef Supervisor, Allied Health. Because it’s restricted, the Request Staff form’s dropdown must exactly match this list — a mismatch would let a value submit client-side and only fail once it reaches the database.</w:t>
      </w:r>
    </w:p>
    <w:p>
      <w:pPr>
        <w:pStyle w:val="ListParagraph"/>
        <w:numPr>
          <w:ilvl w:val="0"/>
          <w:numId w:val="1"/>
        </w:numPr>
        <w:spacing w:after="100"/>
      </w:pPr>
      <w:r>
        <w:t xml:space="preserve">Priority__c — also a restricted picklist, narrowed since the last review from four values (Low/Medium/High/Urgent) to two: Standard (the default) and Urgent. Same constraint as Role__c applies — the Request Staff form’s Priority dropdown must exactly match this two-value list.</w:t>
      </w:r>
    </w:p>
    <w:p>
      <w:pPr>
        <w:pStyle w:val="Heading2"/>
        <w:spacing w:after="120" w:before="280"/>
      </w:pPr>
      <w:r>
        <w:t xml:space="preserve">3.2 Apex classes</w:t>
      </w:r>
    </w:p>
    <w:p>
      <w:pPr>
        <w:pStyle w:val="Heading3"/>
        <w:spacing w:after="100" w:before="220"/>
      </w:pPr>
      <w:r>
        <w:t xml:space="preserve">Controllers (called directly from the Lightning Web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6325C" w:val="clear"/>
            <w:tcMar>
              <w:top w:type="dxa" w:w="80"/>
              <w:left w:type="dxa" w:w="100"/>
              <w:bottom w:type="dxa" w:w="80"/>
              <w:right w:type="dxa" w:w="100"/>
            </w:tcMar>
          </w:tcPr>
          <w:p>
            <w:r>
              <w:rPr>
                <w:b/>
                <w:bCs/>
                <w:color w:val="FFFFFF"/>
                <w:sz w:val="19"/>
                <w:szCs w:val="19"/>
              </w:rPr>
              <w:t xml:space="preserve">Class</w:t>
            </w:r>
          </w:p>
        </w:tc>
        <w:tc>
          <w:tcPr>
            <w:tcW w:type="dxa" w:w="6626"/>
            <w:shd w:fill="16325C" w:val="clear"/>
            <w:tcMar>
              <w:top w:type="dxa" w:w="80"/>
              <w:left w:type="dxa" w:w="100"/>
              <w:bottom w:type="dxa" w:w="80"/>
              <w:right w:type="dxa" w:w="100"/>
            </w:tcMar>
          </w:tcPr>
          <w:p>
            <w:r>
              <w:rPr>
                <w:b/>
                <w:bCs/>
                <w:color w:val="FFFFFF"/>
                <w:sz w:val="19"/>
                <w:szCs w:val="19"/>
              </w:rPr>
              <w:t xml:space="preserve">Purpose</w:t>
            </w:r>
          </w:p>
        </w:tc>
      </w:tr>
      <w:tr>
        <w:tc>
          <w:tcPr>
            <w:tcW w:type="dxa" w:w="2400"/>
            <w:tcMar>
              <w:top w:type="dxa" w:w="80"/>
              <w:left w:type="dxa" w:w="100"/>
              <w:bottom w:type="dxa" w:w="80"/>
              <w:right w:type="dxa" w:w="100"/>
            </w:tcMar>
          </w:tcPr>
          <w:p>
            <w:r>
              <w:rPr>
                <w:sz w:val="19"/>
                <w:szCs w:val="19"/>
              </w:rPr>
              <w:t xml:space="preserve">PortalDashboardController</w:t>
            </w:r>
          </w:p>
        </w:tc>
        <w:tc>
          <w:tcPr>
            <w:tcW w:type="dxa" w:w="6626"/>
            <w:tcMar>
              <w:top w:type="dxa" w:w="80"/>
              <w:left w:type="dxa" w:w="100"/>
              <w:bottom w:type="dxa" w:w="80"/>
              <w:right w:type="dxa" w:w="100"/>
            </w:tcMar>
          </w:tcPr>
          <w:p>
            <w:r>
              <w:rPr>
                <w:sz w:val="19"/>
                <w:szCs w:val="19"/>
              </w:rPr>
              <w:t xml:space="preserve">Supplies the Home dashboard’s five summary counts (Open Requests, Unable to Fill Shifts, Filled Shifts, Cancelled Shifts, Overdue Invoices).</w:t>
            </w:r>
          </w:p>
        </w:tc>
      </w:tr>
      <w:tr>
        <w:tc>
          <w:tcPr>
            <w:tcW w:type="dxa" w:w="2400"/>
            <w:tcMar>
              <w:top w:type="dxa" w:w="80"/>
              <w:left w:type="dxa" w:w="100"/>
              <w:bottom w:type="dxa" w:w="80"/>
              <w:right w:type="dxa" w:w="100"/>
            </w:tcMar>
          </w:tcPr>
          <w:p>
            <w:r>
              <w:rPr>
                <w:sz w:val="19"/>
                <w:szCs w:val="19"/>
              </w:rPr>
              <w:t xml:space="preserve">StaffingRequestController</w:t>
            </w:r>
          </w:p>
        </w:tc>
        <w:tc>
          <w:tcPr>
            <w:tcW w:type="dxa" w:w="6626"/>
            <w:tcMar>
              <w:top w:type="dxa" w:w="80"/>
              <w:left w:type="dxa" w:w="100"/>
              <w:bottom w:type="dxa" w:w="80"/>
              <w:right w:type="dxa" w:w="100"/>
            </w:tcMar>
          </w:tcPr>
          <w:p>
            <w:r>
              <w:rPr>
                <w:sz w:val="19"/>
                <w:szCs w:val="19"/>
              </w:rPr>
              <w:t xml:space="preserve">Creates and lists staffing requests — backs Request Staff, My Requests, Calendar, and Reporting.</w:t>
            </w:r>
          </w:p>
        </w:tc>
      </w:tr>
      <w:tr>
        <w:tc>
          <w:tcPr>
            <w:tcW w:type="dxa" w:w="2400"/>
            <w:tcMar>
              <w:top w:type="dxa" w:w="80"/>
              <w:left w:type="dxa" w:w="100"/>
              <w:bottom w:type="dxa" w:w="80"/>
              <w:right w:type="dxa" w:w="100"/>
            </w:tcMar>
          </w:tcPr>
          <w:p>
            <w:r>
              <w:rPr>
                <w:sz w:val="19"/>
                <w:szCs w:val="19"/>
              </w:rPr>
              <w:t xml:space="preserve">FacilityController</w:t>
            </w:r>
          </w:p>
        </w:tc>
        <w:tc>
          <w:tcPr>
            <w:tcW w:type="dxa" w:w="6626"/>
            <w:tcMar>
              <w:top w:type="dxa" w:w="80"/>
              <w:left w:type="dxa" w:w="100"/>
              <w:bottom w:type="dxa" w:w="80"/>
              <w:right w:type="dxa" w:w="100"/>
            </w:tcMar>
          </w:tcPr>
          <w:p>
            <w:r>
              <w:rPr>
                <w:sz w:val="19"/>
                <w:szCs w:val="19"/>
              </w:rPr>
              <w:t xml:space="preserve">Returns the facilities and wards available to the current portal user’s Account.</w:t>
            </w:r>
          </w:p>
        </w:tc>
      </w:tr>
      <w:tr>
        <w:tc>
          <w:tcPr>
            <w:tcW w:type="dxa" w:w="2400"/>
            <w:tcMar>
              <w:top w:type="dxa" w:w="80"/>
              <w:left w:type="dxa" w:w="100"/>
              <w:bottom w:type="dxa" w:w="80"/>
              <w:right w:type="dxa" w:w="100"/>
            </w:tcMar>
          </w:tcPr>
          <w:p>
            <w:r>
              <w:rPr>
                <w:sz w:val="19"/>
                <w:szCs w:val="19"/>
              </w:rPr>
              <w:t xml:space="preserve">InvoiceController</w:t>
            </w:r>
          </w:p>
        </w:tc>
        <w:tc>
          <w:tcPr>
            <w:tcW w:type="dxa" w:w="6626"/>
            <w:tcMar>
              <w:top w:type="dxa" w:w="80"/>
              <w:left w:type="dxa" w:w="100"/>
              <w:bottom w:type="dxa" w:w="80"/>
              <w:right w:type="dxa" w:w="100"/>
            </w:tcMar>
          </w:tcPr>
          <w:p>
            <w:r>
              <w:rPr>
                <w:sz w:val="19"/>
                <w:szCs w:val="19"/>
              </w:rPr>
              <w:t xml:space="preserve">Lists invoices for the current portal user’s Account.</w:t>
            </w:r>
          </w:p>
        </w:tc>
      </w:tr>
      <w:tr>
        <w:tc>
          <w:tcPr>
            <w:tcW w:type="dxa" w:w="2400"/>
            <w:tcMar>
              <w:top w:type="dxa" w:w="80"/>
              <w:left w:type="dxa" w:w="100"/>
              <w:bottom w:type="dxa" w:w="80"/>
              <w:right w:type="dxa" w:w="100"/>
            </w:tcMar>
          </w:tcPr>
          <w:p>
            <w:r>
              <w:rPr>
                <w:sz w:val="19"/>
                <w:szCs w:val="19"/>
              </w:rPr>
              <w:t xml:space="preserve">SupportRequestController</w:t>
            </w:r>
          </w:p>
        </w:tc>
        <w:tc>
          <w:tcPr>
            <w:tcW w:type="dxa" w:w="6626"/>
            <w:tcMar>
              <w:top w:type="dxa" w:w="80"/>
              <w:left w:type="dxa" w:w="100"/>
              <w:bottom w:type="dxa" w:w="80"/>
              <w:right w:type="dxa" w:w="100"/>
            </w:tcMar>
          </w:tcPr>
          <w:p>
            <w:r>
              <w:rPr>
                <w:sz w:val="19"/>
                <w:szCs w:val="19"/>
              </w:rPr>
              <w:t xml:space="preserve">Creates a Case — from the Support/Query form (General Query) or from a My Requests row action (Cancellation Request).</w:t>
            </w:r>
          </w:p>
        </w:tc>
      </w:tr>
      <w:tr>
        <w:tc>
          <w:tcPr>
            <w:tcW w:type="dxa" w:w="2400"/>
            <w:tcMar>
              <w:top w:type="dxa" w:w="80"/>
              <w:left w:type="dxa" w:w="100"/>
              <w:bottom w:type="dxa" w:w="80"/>
              <w:right w:type="dxa" w:w="100"/>
            </w:tcMar>
          </w:tcPr>
          <w:p>
            <w:r>
              <w:rPr>
                <w:sz w:val="19"/>
                <w:szCs w:val="19"/>
              </w:rPr>
              <w:t xml:space="preserve">PortalUserBadgeController</w:t>
            </w:r>
          </w:p>
        </w:tc>
        <w:tc>
          <w:tcPr>
            <w:tcW w:type="dxa" w:w="6626"/>
            <w:tcMar>
              <w:top w:type="dxa" w:w="80"/>
              <w:left w:type="dxa" w:w="100"/>
              <w:bottom w:type="dxa" w:w="80"/>
              <w:right w:type="dxa" w:w="100"/>
            </w:tcMar>
          </w:tcPr>
          <w:p>
            <w:r>
              <w:rPr>
                <w:sz w:val="19"/>
                <w:szCs w:val="19"/>
              </w:rPr>
              <w:t xml:space="preserve">Returns the current user’s name and Account name for the site-header badge.</w:t>
            </w:r>
          </w:p>
        </w:tc>
      </w:tr>
    </w:tbl>
    <w:p>
      <w:pPr>
        <w:pStyle w:val="Heading3"/>
        <w:spacing w:after="100" w:before="220"/>
      </w:pPr>
      <w:r>
        <w:t xml:space="preserve">Domain / shared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6325C" w:val="clear"/>
            <w:tcMar>
              <w:top w:type="dxa" w:w="80"/>
              <w:left w:type="dxa" w:w="100"/>
              <w:bottom w:type="dxa" w:w="80"/>
              <w:right w:type="dxa" w:w="100"/>
            </w:tcMar>
          </w:tcPr>
          <w:p>
            <w:r>
              <w:rPr>
                <w:b/>
                <w:bCs/>
                <w:color w:val="FFFFFF"/>
                <w:sz w:val="19"/>
                <w:szCs w:val="19"/>
              </w:rPr>
              <w:t xml:space="preserve">Class</w:t>
            </w:r>
          </w:p>
        </w:tc>
        <w:tc>
          <w:tcPr>
            <w:tcW w:type="dxa" w:w="6626"/>
            <w:shd w:fill="16325C" w:val="clear"/>
            <w:tcMar>
              <w:top w:type="dxa" w:w="80"/>
              <w:left w:type="dxa" w:w="100"/>
              <w:bottom w:type="dxa" w:w="80"/>
              <w:right w:type="dxa" w:w="100"/>
            </w:tcMar>
          </w:tcPr>
          <w:p>
            <w:r>
              <w:rPr>
                <w:b/>
                <w:bCs/>
                <w:color w:val="FFFFFF"/>
                <w:sz w:val="19"/>
                <w:szCs w:val="19"/>
              </w:rPr>
              <w:t xml:space="preserve">Purpose</w:t>
            </w:r>
          </w:p>
        </w:tc>
      </w:tr>
      <w:tr>
        <w:tc>
          <w:tcPr>
            <w:tcW w:type="dxa" w:w="2400"/>
            <w:tcMar>
              <w:top w:type="dxa" w:w="80"/>
              <w:left w:type="dxa" w:w="100"/>
              <w:bottom w:type="dxa" w:w="80"/>
              <w:right w:type="dxa" w:w="100"/>
            </w:tcMar>
          </w:tcPr>
          <w:p>
            <w:r>
              <w:rPr>
                <w:sz w:val="19"/>
                <w:szCs w:val="19"/>
              </w:rPr>
              <w:t xml:space="preserve">StaffingRequestService</w:t>
            </w:r>
          </w:p>
        </w:tc>
        <w:tc>
          <w:tcPr>
            <w:tcW w:type="dxa" w:w="6626"/>
            <w:tcMar>
              <w:top w:type="dxa" w:w="80"/>
              <w:left w:type="dxa" w:w="100"/>
              <w:bottom w:type="dxa" w:w="80"/>
              <w:right w:type="dxa" w:w="100"/>
            </w:tcMar>
          </w:tcPr>
          <w:p>
            <w:r>
              <w:rPr>
                <w:sz w:val="19"/>
                <w:szCs w:val="19"/>
              </w:rPr>
              <w:t xml:space="preserve">Business logic behind creating a staffing request. Before inserting, explicitly confirms the submitted Facility (and Ward, if set) genuinely belong to the requesting user’s own Account — see Section 5, item 8 for why this check exists and why the insert/update then runs through WithoutSharingDml rather than a plain "with sharing" DML statement.</w:t>
            </w:r>
          </w:p>
        </w:tc>
      </w:tr>
      <w:tr>
        <w:tc>
          <w:tcPr>
            <w:tcW w:type="dxa" w:w="2400"/>
            <w:tcMar>
              <w:top w:type="dxa" w:w="80"/>
              <w:left w:type="dxa" w:w="100"/>
              <w:bottom w:type="dxa" w:w="80"/>
              <w:right w:type="dxa" w:w="100"/>
            </w:tcMar>
          </w:tcPr>
          <w:p>
            <w:r>
              <w:rPr>
                <w:sz w:val="19"/>
                <w:szCs w:val="19"/>
              </w:rPr>
              <w:t xml:space="preserve">SupportRequestService</w:t>
            </w:r>
          </w:p>
        </w:tc>
        <w:tc>
          <w:tcPr>
            <w:tcW w:type="dxa" w:w="6626"/>
            <w:tcMar>
              <w:top w:type="dxa" w:w="80"/>
              <w:left w:type="dxa" w:w="100"/>
              <w:bottom w:type="dxa" w:w="80"/>
              <w:right w:type="dxa" w:w="100"/>
            </w:tcMar>
          </w:tcPr>
          <w:p>
            <w:r>
              <w:rPr>
                <w:sz w:val="19"/>
                <w:szCs w:val="19"/>
              </w:rPr>
              <w:t xml:space="preserve">Creates the Case and sends a confirmation email summarising the request. For a Cancellation Request tied to a specific Staffing Request, also flags that record’s Cancellation_Requested__c — after independently confirming, the same way as above, that the record actually belongs to the requesting user’s Account.</w:t>
            </w:r>
          </w:p>
        </w:tc>
      </w:tr>
      <w:tr>
        <w:tc>
          <w:tcPr>
            <w:tcW w:type="dxa" w:w="2400"/>
            <w:tcMar>
              <w:top w:type="dxa" w:w="80"/>
              <w:left w:type="dxa" w:w="100"/>
              <w:bottom w:type="dxa" w:w="80"/>
              <w:right w:type="dxa" w:w="100"/>
            </w:tcMar>
          </w:tcPr>
          <w:p>
            <w:r>
              <w:rPr>
                <w:sz w:val="19"/>
                <w:szCs w:val="19"/>
              </w:rPr>
              <w:t xml:space="preserve">WithoutSharingDml</w:t>
            </w:r>
          </w:p>
        </w:tc>
        <w:tc>
          <w:tcPr>
            <w:tcW w:type="dxa" w:w="6626"/>
            <w:tcMar>
              <w:top w:type="dxa" w:w="80"/>
              <w:left w:type="dxa" w:w="100"/>
              <w:bottom w:type="dxa" w:w="80"/>
              <w:right w:type="dxa" w:w="100"/>
            </w:tcMar>
          </w:tcPr>
          <w:p>
            <w:r>
              <w:rPr>
                <w:sz w:val="19"/>
                <w:szCs w:val="19"/>
              </w:rPr>
              <w:t xml:space="preserve">New shared utility (Section 5, item 8) — a narrow, deliberate without-sharing escape hatch for the two DML operations above, used only after each caller has already verified ownership itself. Object/field-level security (CRUD/FLS) and all trigger logic still apply as normal; only Salesforce’s own row-sharing check is bypassed, and only because it was found not to cover this case.</w:t>
            </w:r>
          </w:p>
        </w:tc>
      </w:tr>
      <w:tr>
        <w:tc>
          <w:tcPr>
            <w:tcW w:type="dxa" w:w="2400"/>
            <w:tcMar>
              <w:top w:type="dxa" w:w="80"/>
              <w:left w:type="dxa" w:w="100"/>
              <w:bottom w:type="dxa" w:w="80"/>
              <w:right w:type="dxa" w:w="100"/>
            </w:tcMar>
          </w:tcPr>
          <w:p>
            <w:r>
              <w:rPr>
                <w:sz w:val="19"/>
                <w:szCs w:val="19"/>
              </w:rPr>
              <w:t xml:space="preserve">TimeFormatUtil / DateFormatUtil</w:t>
            </w:r>
          </w:p>
        </w:tc>
        <w:tc>
          <w:tcPr>
            <w:tcW w:type="dxa" w:w="6626"/>
            <w:tcMar>
              <w:top w:type="dxa" w:w="80"/>
              <w:left w:type="dxa" w:w="100"/>
              <w:bottom w:type="dxa" w:w="80"/>
              <w:right w:type="dxa" w:w="100"/>
            </w:tcMar>
          </w:tcPr>
          <w:p>
            <w:r>
              <w:rPr>
                <w:sz w:val="19"/>
                <w:szCs w:val="19"/>
              </w:rPr>
              <w:t xml:space="preserve">New shared utilities building explicit HH:MM and DD/MM/YYYY strings for notification/confirmation email bodies, instead of Apex’s Date.format() (which follows the Locale of whichever user’s context happens to be running the code — not necessarily the recipient’s). See Section 3.3’s platform note for the equivalent front-end fix.</w:t>
            </w:r>
          </w:p>
        </w:tc>
      </w:tr>
      <w:tr>
        <w:tc>
          <w:tcPr>
            <w:tcW w:type="dxa" w:w="2400"/>
            <w:tcMar>
              <w:top w:type="dxa" w:w="80"/>
              <w:left w:type="dxa" w:w="100"/>
              <w:bottom w:type="dxa" w:w="80"/>
              <w:right w:type="dxa" w:w="100"/>
            </w:tcMar>
          </w:tcPr>
          <w:p>
            <w:r>
              <w:rPr>
                <w:sz w:val="19"/>
                <w:szCs w:val="19"/>
              </w:rPr>
              <w:t xml:space="preserve">PortalUserContext</w:t>
            </w:r>
          </w:p>
        </w:tc>
        <w:tc>
          <w:tcPr>
            <w:tcW w:type="dxa" w:w="6626"/>
            <w:tcMar>
              <w:top w:type="dxa" w:w="80"/>
              <w:left w:type="dxa" w:w="100"/>
              <w:bottom w:type="dxa" w:w="80"/>
              <w:right w:type="dxa" w:w="100"/>
            </w:tcMar>
          </w:tcPr>
          <w:p>
            <w:r>
              <w:rPr>
                <w:sz w:val="19"/>
                <w:szCs w:val="19"/>
              </w:rPr>
              <w:t xml:space="preserve">Shared helper every controller uses to resolve the current user’s Contact and Account — the single place that logic lives.</w:t>
            </w:r>
          </w:p>
        </w:tc>
      </w:tr>
      <w:tr>
        <w:tc>
          <w:tcPr>
            <w:tcW w:type="dxa" w:w="2400"/>
            <w:tcMar>
              <w:top w:type="dxa" w:w="80"/>
              <w:left w:type="dxa" w:w="100"/>
              <w:bottom w:type="dxa" w:w="80"/>
              <w:right w:type="dxa" w:w="100"/>
            </w:tcMar>
          </w:tcPr>
          <w:p>
            <w:r>
              <w:rPr>
                <w:sz w:val="19"/>
                <w:szCs w:val="19"/>
              </w:rPr>
              <w:t xml:space="preserve">StaffingRequestMaintenanceService</w:t>
            </w:r>
          </w:p>
        </w:tc>
        <w:tc>
          <w:tcPr>
            <w:tcW w:type="dxa" w:w="6626"/>
            <w:tcMar>
              <w:top w:type="dxa" w:w="80"/>
              <w:left w:type="dxa" w:w="100"/>
              <w:bottom w:type="dxa" w:w="80"/>
              <w:right w:type="dxa" w:w="100"/>
            </w:tcMar>
          </w:tcPr>
          <w:p>
            <w:r>
              <w:rPr>
                <w:sz w:val="19"/>
                <w:szCs w:val="19"/>
              </w:rPr>
              <w:t xml:space="preserve">Marks any Staffing_Request__c whose shift date has passed while still unresolved as "Unable to Fill".</w:t>
            </w:r>
          </w:p>
        </w:tc>
      </w:tr>
    </w:tbl>
    <w:p>
      <w:pPr>
        <w:pStyle w:val="Heading3"/>
        <w:spacing w:after="100" w:before="220"/>
      </w:pPr>
      <w:r>
        <w:t xml:space="preserve">Integration boundary — currently mocked (see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6325C" w:val="clear"/>
            <w:tcMar>
              <w:top w:type="dxa" w:w="80"/>
              <w:left w:type="dxa" w:w="100"/>
              <w:bottom w:type="dxa" w:w="80"/>
              <w:right w:type="dxa" w:w="100"/>
            </w:tcMar>
          </w:tcPr>
          <w:p>
            <w:r>
              <w:rPr>
                <w:b/>
                <w:bCs/>
                <w:color w:val="FFFFFF"/>
                <w:sz w:val="19"/>
                <w:szCs w:val="19"/>
              </w:rPr>
              <w:t xml:space="preserve">Class</w:t>
            </w:r>
          </w:p>
        </w:tc>
        <w:tc>
          <w:tcPr>
            <w:tcW w:type="dxa" w:w="6626"/>
            <w:shd w:fill="16325C" w:val="clear"/>
            <w:tcMar>
              <w:top w:type="dxa" w:w="80"/>
              <w:left w:type="dxa" w:w="100"/>
              <w:bottom w:type="dxa" w:w="80"/>
              <w:right w:type="dxa" w:w="100"/>
            </w:tcMar>
          </w:tcPr>
          <w:p>
            <w:r>
              <w:rPr>
                <w:b/>
                <w:bCs/>
                <w:color w:val="FFFFFF"/>
                <w:sz w:val="19"/>
                <w:szCs w:val="19"/>
              </w:rPr>
              <w:t xml:space="preserve">Purpose</w:t>
            </w:r>
          </w:p>
        </w:tc>
      </w:tr>
      <w:tr>
        <w:tc>
          <w:tcPr>
            <w:tcW w:type="dxa" w:w="2400"/>
            <w:tcMar>
              <w:top w:type="dxa" w:w="80"/>
              <w:left w:type="dxa" w:w="100"/>
              <w:bottom w:type="dxa" w:w="80"/>
              <w:right w:type="dxa" w:w="100"/>
            </w:tcMar>
          </w:tcPr>
          <w:p>
            <w:r>
              <w:rPr>
                <w:sz w:val="19"/>
                <w:szCs w:val="19"/>
              </w:rPr>
              <w:t xml:space="preserve">IWorkforceManagementService / WorkforceManagementServiceFactory / WorkforceManagementDemandStatus</w:t>
            </w:r>
          </w:p>
        </w:tc>
        <w:tc>
          <w:tcPr>
            <w:tcW w:type="dxa" w:w="6626"/>
            <w:tcMar>
              <w:top w:type="dxa" w:w="80"/>
              <w:left w:type="dxa" w:w="100"/>
              <w:bottom w:type="dxa" w:w="80"/>
              <w:right w:type="dxa" w:w="100"/>
            </w:tcMar>
          </w:tcPr>
          <w:p>
            <w:r>
              <w:rPr>
                <w:sz w:val="19"/>
                <w:szCs w:val="19"/>
              </w:rPr>
              <w:t xml:space="preserve">Interface + single swap-point for the Bullhorn / Classic Scheduler integration.</w:t>
            </w:r>
          </w:p>
        </w:tc>
      </w:tr>
      <w:tr>
        <w:tc>
          <w:tcPr>
            <w:tcW w:type="dxa" w:w="2400"/>
            <w:tcMar>
              <w:top w:type="dxa" w:w="80"/>
              <w:left w:type="dxa" w:w="100"/>
              <w:bottom w:type="dxa" w:w="80"/>
              <w:right w:type="dxa" w:w="100"/>
            </w:tcMar>
          </w:tcPr>
          <w:p>
            <w:r>
              <w:rPr>
                <w:sz w:val="19"/>
                <w:szCs w:val="19"/>
              </w:rPr>
              <w:t xml:space="preserve">MockWorkforceManagementService</w:t>
            </w:r>
          </w:p>
        </w:tc>
        <w:tc>
          <w:tcPr>
            <w:tcW w:type="dxa" w:w="6626"/>
            <w:tcMar>
              <w:top w:type="dxa" w:w="80"/>
              <w:left w:type="dxa" w:w="100"/>
              <w:bottom w:type="dxa" w:w="80"/>
              <w:right w:type="dxa" w:w="100"/>
            </w:tcMar>
          </w:tcPr>
          <w:p>
            <w:r>
              <w:rPr>
                <w:sz w:val="19"/>
                <w:szCs w:val="19"/>
              </w:rPr>
              <w:t xml:space="preserve">MOCK implementation — returns fake demand IDs and a fake "Broadcasted" status. Not connected to Bullhorn.</w:t>
            </w:r>
          </w:p>
        </w:tc>
      </w:tr>
      <w:tr>
        <w:tc>
          <w:tcPr>
            <w:tcW w:type="dxa" w:w="2400"/>
            <w:tcMar>
              <w:top w:type="dxa" w:w="80"/>
              <w:left w:type="dxa" w:w="100"/>
              <w:bottom w:type="dxa" w:w="80"/>
              <w:right w:type="dxa" w:w="100"/>
            </w:tcMar>
          </w:tcPr>
          <w:p>
            <w:r>
              <w:rPr>
                <w:sz w:val="19"/>
                <w:szCs w:val="19"/>
              </w:rPr>
              <w:t xml:space="preserve">I2Cloud9InvoiceService / InvoiceSyncServiceFactory</w:t>
            </w:r>
          </w:p>
        </w:tc>
        <w:tc>
          <w:tcPr>
            <w:tcW w:type="dxa" w:w="6626"/>
            <w:tcMar>
              <w:top w:type="dxa" w:w="80"/>
              <w:left w:type="dxa" w:w="100"/>
              <w:bottom w:type="dxa" w:w="80"/>
              <w:right w:type="dxa" w:w="100"/>
            </w:tcMar>
          </w:tcPr>
          <w:p>
            <w:r>
              <w:rPr>
                <w:sz w:val="19"/>
                <w:szCs w:val="19"/>
              </w:rPr>
              <w:t xml:space="preserve">Interface + single swap-point for the 2Cloud9 invoicing integration.</w:t>
            </w:r>
          </w:p>
        </w:tc>
      </w:tr>
      <w:tr>
        <w:tc>
          <w:tcPr>
            <w:tcW w:type="dxa" w:w="2400"/>
            <w:tcMar>
              <w:top w:type="dxa" w:w="80"/>
              <w:left w:type="dxa" w:w="100"/>
              <w:bottom w:type="dxa" w:w="80"/>
              <w:right w:type="dxa" w:w="100"/>
            </w:tcMar>
          </w:tcPr>
          <w:p>
            <w:r>
              <w:rPr>
                <w:sz w:val="19"/>
                <w:szCs w:val="19"/>
              </w:rPr>
              <w:t xml:space="preserve">Mock2Cloud9InvoiceService</w:t>
            </w:r>
          </w:p>
        </w:tc>
        <w:tc>
          <w:tcPr>
            <w:tcW w:type="dxa" w:w="6626"/>
            <w:tcMar>
              <w:top w:type="dxa" w:w="80"/>
              <w:left w:type="dxa" w:w="100"/>
              <w:bottom w:type="dxa" w:w="80"/>
              <w:right w:type="dxa" w:w="100"/>
            </w:tcMar>
          </w:tcPr>
          <w:p>
            <w:r>
              <w:rPr>
                <w:sz w:val="19"/>
                <w:szCs w:val="19"/>
              </w:rPr>
              <w:t xml:space="preserve">MOCK implementation — invoice sync is a no-op; PDF download returns placeholder text, not a real file. Not connected to 2Cloud9.</w:t>
            </w:r>
          </w:p>
        </w:tc>
      </w:tr>
    </w:tbl>
    <w:p>
      <w:pPr>
        <w:pStyle w:val="Heading3"/>
        <w:spacing w:after="100" w:before="220"/>
      </w:pPr>
      <w:r>
        <w:t xml:space="preserve">Scheduled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6325C" w:val="clear"/>
            <w:tcMar>
              <w:top w:type="dxa" w:w="80"/>
              <w:left w:type="dxa" w:w="100"/>
              <w:bottom w:type="dxa" w:w="80"/>
              <w:right w:type="dxa" w:w="100"/>
            </w:tcMar>
          </w:tcPr>
          <w:p>
            <w:r>
              <w:rPr>
                <w:b/>
                <w:bCs/>
                <w:color w:val="FFFFFF"/>
                <w:sz w:val="19"/>
                <w:szCs w:val="19"/>
              </w:rPr>
              <w:t xml:space="preserve">Class</w:t>
            </w:r>
          </w:p>
        </w:tc>
        <w:tc>
          <w:tcPr>
            <w:tcW w:type="dxa" w:w="6626"/>
            <w:shd w:fill="16325C" w:val="clear"/>
            <w:tcMar>
              <w:top w:type="dxa" w:w="80"/>
              <w:left w:type="dxa" w:w="100"/>
              <w:bottom w:type="dxa" w:w="80"/>
              <w:right w:type="dxa" w:w="100"/>
            </w:tcMar>
          </w:tcPr>
          <w:p>
            <w:r>
              <w:rPr>
                <w:b/>
                <w:bCs/>
                <w:color w:val="FFFFFF"/>
                <w:sz w:val="19"/>
                <w:szCs w:val="19"/>
              </w:rPr>
              <w:t xml:space="preserve">Purpose</w:t>
            </w:r>
          </w:p>
        </w:tc>
      </w:tr>
      <w:tr>
        <w:tc>
          <w:tcPr>
            <w:tcW w:type="dxa" w:w="2400"/>
            <w:tcMar>
              <w:top w:type="dxa" w:w="80"/>
              <w:left w:type="dxa" w:w="100"/>
              <w:bottom w:type="dxa" w:w="80"/>
              <w:right w:type="dxa" w:w="100"/>
            </w:tcMar>
          </w:tcPr>
          <w:p>
            <w:r>
              <w:rPr>
                <w:sz w:val="19"/>
                <w:szCs w:val="19"/>
              </w:rPr>
              <w:t xml:space="preserve">StaffingRequestOverdueScheduler</w:t>
            </w:r>
          </w:p>
        </w:tc>
        <w:tc>
          <w:tcPr>
            <w:tcW w:type="dxa" w:w="6626"/>
            <w:tcMar>
              <w:top w:type="dxa" w:w="80"/>
              <w:left w:type="dxa" w:w="100"/>
              <w:bottom w:type="dxa" w:w="80"/>
              <w:right w:type="dxa" w:w="100"/>
            </w:tcMar>
          </w:tcPr>
          <w:p>
            <w:r>
              <w:rPr>
                <w:sz w:val="19"/>
                <w:szCs w:val="19"/>
              </w:rPr>
              <w:t xml:space="preserve">Schedulable wrapper that calls StaffingRequestMaintenanceService daily. Must be activated manually per org — see Section 8.</w:t>
            </w:r>
          </w:p>
        </w:tc>
      </w:tr>
    </w:tbl>
    <w:p>
      <w:pPr>
        <w:pStyle w:val="Heading3"/>
        <w:spacing w:after="100" w:before="220"/>
      </w:pPr>
      <w:r>
        <w:t xml:space="preserve">Notification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6325C" w:val="clear"/>
            <w:tcMar>
              <w:top w:type="dxa" w:w="80"/>
              <w:left w:type="dxa" w:w="100"/>
              <w:bottom w:type="dxa" w:w="80"/>
              <w:right w:type="dxa" w:w="100"/>
            </w:tcMar>
          </w:tcPr>
          <w:p>
            <w:r>
              <w:rPr>
                <w:b/>
                <w:bCs/>
                <w:color w:val="FFFFFF"/>
                <w:sz w:val="19"/>
                <w:szCs w:val="19"/>
              </w:rPr>
              <w:t xml:space="preserve">Class</w:t>
            </w:r>
          </w:p>
        </w:tc>
        <w:tc>
          <w:tcPr>
            <w:tcW w:type="dxa" w:w="6626"/>
            <w:shd w:fill="16325C" w:val="clear"/>
            <w:tcMar>
              <w:top w:type="dxa" w:w="80"/>
              <w:left w:type="dxa" w:w="100"/>
              <w:bottom w:type="dxa" w:w="80"/>
              <w:right w:type="dxa" w:w="100"/>
            </w:tcMar>
          </w:tcPr>
          <w:p>
            <w:r>
              <w:rPr>
                <w:b/>
                <w:bCs/>
                <w:color w:val="FFFFFF"/>
                <w:sz w:val="19"/>
                <w:szCs w:val="19"/>
              </w:rPr>
              <w:t xml:space="preserve">Purpose</w:t>
            </w:r>
          </w:p>
        </w:tc>
      </w:tr>
      <w:tr>
        <w:tc>
          <w:tcPr>
            <w:tcW w:type="dxa" w:w="2400"/>
            <w:tcMar>
              <w:top w:type="dxa" w:w="80"/>
              <w:left w:type="dxa" w:w="100"/>
              <w:bottom w:type="dxa" w:w="80"/>
              <w:right w:type="dxa" w:w="100"/>
            </w:tcMar>
          </w:tcPr>
          <w:p>
            <w:r>
              <w:rPr>
                <w:sz w:val="19"/>
                <w:szCs w:val="19"/>
              </w:rPr>
              <w:t xml:space="preserve">StaffingRequestTrigger</w:t>
            </w:r>
          </w:p>
        </w:tc>
        <w:tc>
          <w:tcPr>
            <w:tcW w:type="dxa" w:w="6626"/>
            <w:tcMar>
              <w:top w:type="dxa" w:w="80"/>
              <w:left w:type="dxa" w:w="100"/>
              <w:bottom w:type="dxa" w:w="80"/>
              <w:right w:type="dxa" w:w="100"/>
            </w:tcMar>
          </w:tcPr>
          <w:p>
            <w:r>
              <w:rPr>
                <w:sz w:val="19"/>
                <w:szCs w:val="19"/>
              </w:rPr>
              <w:t xml:space="preserve">Before insert/before update/after insert/after update trigger on Staffing_Request__c. Runs the data validation below, then calls StaffingRequestNotificationService to email the requesting Contact when a request is submitted, and again whenever its status changes to Filled, Unable to Fill, or Cancelled.</w:t>
            </w:r>
          </w:p>
        </w:tc>
      </w:tr>
      <w:tr>
        <w:tc>
          <w:tcPr>
            <w:tcW w:type="dxa" w:w="2400"/>
            <w:tcMar>
              <w:top w:type="dxa" w:w="80"/>
              <w:left w:type="dxa" w:w="100"/>
              <w:bottom w:type="dxa" w:w="80"/>
              <w:right w:type="dxa" w:w="100"/>
            </w:tcMar>
          </w:tcPr>
          <w:p>
            <w:r>
              <w:rPr>
                <w:sz w:val="19"/>
                <w:szCs w:val="19"/>
              </w:rPr>
              <w:t xml:space="preserve">StaffingRequestNotificationService</w:t>
            </w:r>
          </w:p>
        </w:tc>
        <w:tc>
          <w:tcPr>
            <w:tcW w:type="dxa" w:w="6626"/>
            <w:tcMar>
              <w:top w:type="dxa" w:w="80"/>
              <w:left w:type="dxa" w:w="100"/>
              <w:bottom w:type="dxa" w:w="80"/>
              <w:right w:type="dxa" w:w="100"/>
            </w:tcMar>
          </w:tcPr>
          <w:p>
            <w:r>
              <w:rPr>
                <w:sz w:val="19"/>
                <w:szCs w:val="19"/>
              </w:rPr>
              <w:t xml:space="preserve">Builds and sends those emails (Shift Date, Start Time, End Time, and — once populated — Assigned Contact). Trigger-based (rather than called inline from the Apex that creates/updates these records) specifically so it also catches status changes made directly on the record — e.g. an internal user marking a request Filled or Cancelled by hand, which today has no other code path since there is no real Bullhorn integration yet. Every request changed in one batch is sent via a single Messaging.sendEmail call rather than one per record, since Apex allows only 10 calls to that method per transaction.</w:t>
            </w:r>
          </w:p>
        </w:tc>
      </w:tr>
    </w:tbl>
    <w:p>
      <w:pPr>
        <w:pStyle w:val="Heading3"/>
        <w:spacing w:after="100" w:before="220"/>
      </w:pPr>
      <w:r>
        <w:t xml:space="preserve">Data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6325C" w:val="clear"/>
            <w:tcMar>
              <w:top w:type="dxa" w:w="80"/>
              <w:left w:type="dxa" w:w="100"/>
              <w:bottom w:type="dxa" w:w="80"/>
              <w:right w:type="dxa" w:w="100"/>
            </w:tcMar>
          </w:tcPr>
          <w:p>
            <w:r>
              <w:rPr>
                <w:b/>
                <w:bCs/>
                <w:color w:val="FFFFFF"/>
                <w:sz w:val="19"/>
                <w:szCs w:val="19"/>
              </w:rPr>
              <w:t xml:space="preserve">Class</w:t>
            </w:r>
          </w:p>
        </w:tc>
        <w:tc>
          <w:tcPr>
            <w:tcW w:type="dxa" w:w="6626"/>
            <w:shd w:fill="16325C" w:val="clear"/>
            <w:tcMar>
              <w:top w:type="dxa" w:w="80"/>
              <w:left w:type="dxa" w:w="100"/>
              <w:bottom w:type="dxa" w:w="80"/>
              <w:right w:type="dxa" w:w="100"/>
            </w:tcMar>
          </w:tcPr>
          <w:p>
            <w:r>
              <w:rPr>
                <w:b/>
                <w:bCs/>
                <w:color w:val="FFFFFF"/>
                <w:sz w:val="19"/>
                <w:szCs w:val="19"/>
              </w:rPr>
              <w:t xml:space="preserve">Purpose</w:t>
            </w:r>
          </w:p>
        </w:tc>
      </w:tr>
      <w:tr>
        <w:tc>
          <w:tcPr>
            <w:tcW w:type="dxa" w:w="2400"/>
            <w:tcMar>
              <w:top w:type="dxa" w:w="80"/>
              <w:left w:type="dxa" w:w="100"/>
              <w:bottom w:type="dxa" w:w="80"/>
              <w:right w:type="dxa" w:w="100"/>
            </w:tcMar>
          </w:tcPr>
          <w:p>
            <w:r>
              <w:rPr>
                <w:sz w:val="19"/>
                <w:szCs w:val="19"/>
              </w:rPr>
              <w:t xml:space="preserve">StaffingRequestValidationService</w:t>
            </w:r>
          </w:p>
        </w:tc>
        <w:tc>
          <w:tcPr>
            <w:tcW w:type="dxa" w:w="6626"/>
            <w:tcMar>
              <w:top w:type="dxa" w:w="80"/>
              <w:left w:type="dxa" w:w="100"/>
              <w:bottom w:type="dxa" w:w="80"/>
              <w:right w:type="dxa" w:w="100"/>
            </w:tcMar>
          </w:tcPr>
          <w:p>
            <w:r>
              <w:rPr>
                <w:sz w:val="19"/>
                <w:szCs w:val="19"/>
              </w:rPr>
              <w:t xml:space="preserve">Server-side backstop for two rules requestStaffForm already checks client-side: End Time can’t equal Start Time, and Shift Date can’t be in the past. Both only ever lived in the LWC’s JavaScript, so a Data Loader import, a direct edit in Salesforce, or a future integration could still save an invalid record without this. Both rules use a "don’t re-block existing data" design: a save that leaves the relevant field(s) exactly as they already were is let through, so nothing needs to be found, fixed, or deleted before this deploys. This matters especially for the Shift Date rule — a request’s Shift Date is expected to become "in the past" simply by the calendar advancing (that’s exactly what the scheduled overdue job above acts on), so it only blocks a save that actively introduces or changes into a past date, never a record that has merely aged past today or is being updated for an unrelated reason.</w:t>
            </w:r>
          </w:p>
        </w:tc>
      </w:tr>
    </w:tbl>
    <w:p>
      <w:pPr>
        <w:spacing w:after="160"/>
      </w:pPr>
      <w:r>
        <w:t xml:space="preserve">Separately, both the Request Staff and Support/Query forms now enforce their required fields (Facility, Role, Shift Date, Start Time, End Time, Quantity, Priority; Subject) client-side before ever calling Apex. This was a real gap: marking a Lightning input "required" only drives its native validation styling once something calls reportValidity() — nothing did, so those fields looked mandatory but a blank submission went through fine (or, for Request Staff, reached Apex and came back with a raw database error instead of a clean message). Both forms now check the values directly and show a guaranteed inline banner if something’s missing.</w:t>
      </w:r>
    </w:p>
    <w:p>
      <w:pPr>
        <w:spacing w:after="160"/>
      </w:pPr>
      <w:r>
        <w:t xml:space="preserve">Every class above has a matching @isTest class (19 Apex test classes, including one for each new utility above, plus a shared TestDataFactory). See Section 9 for what running them against a real connected org actually found.</w:t>
      </w:r>
    </w:p>
    <w:p>
      <w:pPr>
        <w:pStyle w:val="Heading2"/>
        <w:spacing w:after="120" w:before="280"/>
      </w:pPr>
      <w:r>
        <w:t xml:space="preserve">3.3 Lightning Web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shd w:fill="16325C" w:val="clear"/>
            <w:tcMar>
              <w:top w:type="dxa" w:w="80"/>
              <w:left w:type="dxa" w:w="100"/>
              <w:bottom w:type="dxa" w:w="80"/>
              <w:right w:type="dxa" w:w="100"/>
            </w:tcMar>
          </w:tcPr>
          <w:p>
            <w:r>
              <w:rPr>
                <w:b/>
                <w:bCs/>
                <w:color w:val="FFFFFF"/>
                <w:sz w:val="19"/>
                <w:szCs w:val="19"/>
              </w:rPr>
              <w:t xml:space="preserve">Component</w:t>
            </w:r>
          </w:p>
        </w:tc>
        <w:tc>
          <w:tcPr>
            <w:tcW w:type="dxa" w:w="1600"/>
            <w:shd w:fill="16325C" w:val="clear"/>
            <w:tcMar>
              <w:top w:type="dxa" w:w="80"/>
              <w:left w:type="dxa" w:w="100"/>
              <w:bottom w:type="dxa" w:w="80"/>
              <w:right w:type="dxa" w:w="100"/>
            </w:tcMar>
          </w:tcPr>
          <w:p>
            <w:r>
              <w:rPr>
                <w:b/>
                <w:bCs/>
                <w:color w:val="FFFFFF"/>
                <w:sz w:val="19"/>
                <w:szCs w:val="19"/>
              </w:rPr>
              <w:t xml:space="preserve">Screen</w:t>
            </w:r>
          </w:p>
        </w:tc>
        <w:tc>
          <w:tcPr>
            <w:tcW w:type="dxa" w:w="5426"/>
            <w:shd w:fill="16325C" w:val="clear"/>
            <w:tcMar>
              <w:top w:type="dxa" w:w="80"/>
              <w:left w:type="dxa" w:w="100"/>
              <w:bottom w:type="dxa" w:w="80"/>
              <w:right w:type="dxa" w:w="100"/>
            </w:tcMar>
          </w:tcPr>
          <w:p>
            <w:r>
              <w:rPr>
                <w:b/>
                <w:bCs/>
                <w:color w:val="FFFFFF"/>
                <w:sz w:val="19"/>
                <w:szCs w:val="19"/>
              </w:rPr>
              <w:t xml:space="preserve">Purpose</w:t>
            </w:r>
          </w:p>
        </w:tc>
      </w:tr>
      <w:tr>
        <w:tc>
          <w:tcPr>
            <w:tcW w:type="dxa" w:w="2000"/>
            <w:tcMar>
              <w:top w:type="dxa" w:w="80"/>
              <w:left w:type="dxa" w:w="100"/>
              <w:bottom w:type="dxa" w:w="80"/>
              <w:right w:type="dxa" w:w="100"/>
            </w:tcMar>
          </w:tcPr>
          <w:p>
            <w:r>
              <w:rPr>
                <w:sz w:val="19"/>
                <w:szCs w:val="19"/>
              </w:rPr>
              <w:t xml:space="preserve">portalHomeDashboard (+ portalDashboardTile)</w:t>
            </w:r>
          </w:p>
        </w:tc>
        <w:tc>
          <w:tcPr>
            <w:tcW w:type="dxa" w:w="1600"/>
            <w:tcMar>
              <w:top w:type="dxa" w:w="80"/>
              <w:left w:type="dxa" w:w="100"/>
              <w:bottom w:type="dxa" w:w="80"/>
              <w:right w:type="dxa" w:w="100"/>
            </w:tcMar>
          </w:tcPr>
          <w:p>
            <w:r>
              <w:rPr>
                <w:sz w:val="19"/>
                <w:szCs w:val="19"/>
              </w:rPr>
              <w:t xml:space="preserve">Home</w:t>
            </w:r>
          </w:p>
        </w:tc>
        <w:tc>
          <w:tcPr>
            <w:tcW w:type="dxa" w:w="5426"/>
            <w:tcMar>
              <w:top w:type="dxa" w:w="80"/>
              <w:left w:type="dxa" w:w="100"/>
              <w:bottom w:type="dxa" w:w="80"/>
              <w:right w:type="dxa" w:w="100"/>
            </w:tcMar>
          </w:tcPr>
          <w:p>
            <w:r>
              <w:rPr>
                <w:sz w:val="19"/>
                <w:szCs w:val="19"/>
              </w:rPr>
              <w:t xml:space="preserve">Five summary tiles — Open Requests, Unable to Fill Shifts, Filled Shifts, Cancelled Shifts, Overdue Invoices — each clickable through to a filtered screen. The tile grid is capped at 3 columns, wrapping to 2 rows, rather than spreading across one row on wide screens.</w:t>
            </w:r>
          </w:p>
        </w:tc>
      </w:tr>
      <w:tr>
        <w:tc>
          <w:tcPr>
            <w:tcW w:type="dxa" w:w="2000"/>
            <w:tcMar>
              <w:top w:type="dxa" w:w="80"/>
              <w:left w:type="dxa" w:w="100"/>
              <w:bottom w:type="dxa" w:w="80"/>
              <w:right w:type="dxa" w:w="100"/>
            </w:tcMar>
          </w:tcPr>
          <w:p>
            <w:r>
              <w:rPr>
                <w:sz w:val="19"/>
                <w:szCs w:val="19"/>
              </w:rPr>
              <w:t xml:space="preserve">requestStaffForm (+ facilityPicker, wardPicker)</w:t>
            </w:r>
          </w:p>
        </w:tc>
        <w:tc>
          <w:tcPr>
            <w:tcW w:type="dxa" w:w="1600"/>
            <w:tcMar>
              <w:top w:type="dxa" w:w="80"/>
              <w:left w:type="dxa" w:w="100"/>
              <w:bottom w:type="dxa" w:w="80"/>
              <w:right w:type="dxa" w:w="100"/>
            </w:tcMar>
          </w:tcPr>
          <w:p>
            <w:r>
              <w:rPr>
                <w:sz w:val="19"/>
                <w:szCs w:val="19"/>
              </w:rPr>
              <w:t xml:space="preserve">Request Staff</w:t>
            </w:r>
          </w:p>
        </w:tc>
        <w:tc>
          <w:tcPr>
            <w:tcW w:type="dxa" w:w="5426"/>
            <w:tcMar>
              <w:top w:type="dxa" w:w="80"/>
              <w:left w:type="dxa" w:w="100"/>
              <w:bottom w:type="dxa" w:w="80"/>
              <w:right w:type="dxa" w:w="100"/>
            </w:tcMar>
          </w:tcPr>
          <w:p>
            <w:r>
              <w:rPr>
                <w:sz w:val="19"/>
                <w:szCs w:val="19"/>
              </w:rPr>
              <w:t xml:space="preserve">Submits a new shift/staff request against the 16-value Role list (Section 3.1). Blocks a Shift Date before today (date picker minimum plus a submit-time check), End Time equal to Start Time, and any missing required field, all with a guaranteed inline banner. Submit shows a "Submitting…" label and spinner while the Apex call is in flight.</w:t>
            </w:r>
          </w:p>
        </w:tc>
      </w:tr>
      <w:tr>
        <w:tc>
          <w:tcPr>
            <w:tcW w:type="dxa" w:w="2000"/>
            <w:tcMar>
              <w:top w:type="dxa" w:w="80"/>
              <w:left w:type="dxa" w:w="100"/>
              <w:bottom w:type="dxa" w:w="80"/>
              <w:right w:type="dxa" w:w="100"/>
            </w:tcMar>
          </w:tcPr>
          <w:p>
            <w:r>
              <w:rPr>
                <w:sz w:val="19"/>
                <w:szCs w:val="19"/>
              </w:rPr>
              <w:t xml:space="preserve">myStaffingRequests (+ requestStatusBadge)</w:t>
            </w:r>
          </w:p>
        </w:tc>
        <w:tc>
          <w:tcPr>
            <w:tcW w:type="dxa" w:w="1600"/>
            <w:tcMar>
              <w:top w:type="dxa" w:w="80"/>
              <w:left w:type="dxa" w:w="100"/>
              <w:bottom w:type="dxa" w:w="80"/>
              <w:right w:type="dxa" w:w="100"/>
            </w:tcMar>
          </w:tcPr>
          <w:p>
            <w:r>
              <w:rPr>
                <w:sz w:val="19"/>
                <w:szCs w:val="19"/>
              </w:rPr>
              <w:t xml:space="preserve">My Requests</w:t>
            </w:r>
          </w:p>
        </w:tc>
        <w:tc>
          <w:tcPr>
            <w:tcW w:type="dxa" w:w="5426"/>
            <w:tcMar>
              <w:top w:type="dxa" w:w="80"/>
              <w:left w:type="dxa" w:w="100"/>
              <w:bottom w:type="dxa" w:w="80"/>
              <w:right w:type="dxa" w:w="100"/>
            </w:tcMar>
          </w:tcPr>
          <w:p>
            <w:r>
              <w:rPr>
                <w:sz w:val="19"/>
                <w:szCs w:val="19"/>
              </w:rPr>
              <w:t xml:space="preserve">Lists and tracks every request, with an Assigned Contact column and a compact Action-column dropdown (first column) offering Request Cancellation per row — this used to be a separate step on the Support/Query screen; it now lives on the specific request it applies to, and reuses the same Case-creation path Support already used. Defaults to sorting by Shift Date ascending (soonest first). An Urgent-priority request is now visually highlighted — its Priority cell renders as a small red pill instead of plain text, so it doesn’t blend in with Standard rows. Supports deep-link filters (from a Home tile or Calendar booking), a search box, sortable columns, and pagination at 10 rows per page — all client-side, no new Apex. Below a phone/tablet-width viewport, the table becomes a per-row card showing Request/Facility/Role/Shift Date/Start Time/Status/Action by default, with the remaining fields behind a "Show more" toggle per card.</w:t>
            </w:r>
          </w:p>
        </w:tc>
      </w:tr>
      <w:tr>
        <w:tc>
          <w:tcPr>
            <w:tcW w:type="dxa" w:w="2000"/>
            <w:tcMar>
              <w:top w:type="dxa" w:w="80"/>
              <w:left w:type="dxa" w:w="100"/>
              <w:bottom w:type="dxa" w:w="80"/>
              <w:right w:type="dxa" w:w="100"/>
            </w:tcMar>
          </w:tcPr>
          <w:p>
            <w:r>
              <w:rPr>
                <w:sz w:val="19"/>
                <w:szCs w:val="19"/>
              </w:rPr>
              <w:t xml:space="preserve">staffingRequestReporting</w:t>
            </w:r>
          </w:p>
        </w:tc>
        <w:tc>
          <w:tcPr>
            <w:tcW w:type="dxa" w:w="1600"/>
            <w:tcMar>
              <w:top w:type="dxa" w:w="80"/>
              <w:left w:type="dxa" w:w="100"/>
              <w:bottom w:type="dxa" w:w="80"/>
              <w:right w:type="dxa" w:w="100"/>
            </w:tcMar>
          </w:tcPr>
          <w:p>
            <w:r>
              <w:rPr>
                <w:sz w:val="19"/>
                <w:szCs w:val="19"/>
              </w:rPr>
              <w:t xml:space="preserve">Reporting (new)</w:t>
            </w:r>
          </w:p>
        </w:tc>
        <w:tc>
          <w:tcPr>
            <w:tcW w:type="dxa" w:w="5426"/>
            <w:tcMar>
              <w:top w:type="dxa" w:w="80"/>
              <w:left w:type="dxa" w:w="100"/>
              <w:bottom w:type="dxa" w:w="80"/>
              <w:right w:type="dxa" w:w="100"/>
            </w:tcMar>
          </w:tcPr>
          <w:p>
            <w:r>
              <w:rPr>
                <w:sz w:val="19"/>
                <w:szCs w:val="19"/>
              </w:rPr>
              <w:t xml:space="preserve">A read-only data-extract view over the same request data as My Requests, filtered by date range — All, Last 7 Days (rolling), Last Week (previous completed Mon–Sun), Last Month (previous completed calendar month), or a Custom Range — with sortable columns and a Download CSV button. No new Apex; reuses StaffingRequestController.getMyRequests(). Gets the same mobile card layout as My Requests below phone/tablet width.</w:t>
            </w:r>
          </w:p>
        </w:tc>
      </w:tr>
      <w:tr>
        <w:tc>
          <w:tcPr>
            <w:tcW w:type="dxa" w:w="2000"/>
            <w:tcMar>
              <w:top w:type="dxa" w:w="80"/>
              <w:left w:type="dxa" w:w="100"/>
              <w:bottom w:type="dxa" w:w="80"/>
              <w:right w:type="dxa" w:w="100"/>
            </w:tcMar>
          </w:tcPr>
          <w:p>
            <w:r>
              <w:rPr>
                <w:sz w:val="19"/>
                <w:szCs w:val="19"/>
              </w:rPr>
              <w:t xml:space="preserve">requestStaffCalendar (+ requestStatusBadge)</w:t>
            </w:r>
          </w:p>
        </w:tc>
        <w:tc>
          <w:tcPr>
            <w:tcW w:type="dxa" w:w="1600"/>
            <w:tcMar>
              <w:top w:type="dxa" w:w="80"/>
              <w:left w:type="dxa" w:w="100"/>
              <w:bottom w:type="dxa" w:w="80"/>
              <w:right w:type="dxa" w:w="100"/>
            </w:tcMar>
          </w:tcPr>
          <w:p>
            <w:r>
              <w:rPr>
                <w:sz w:val="19"/>
                <w:szCs w:val="19"/>
              </w:rPr>
              <w:t xml:space="preserve">Calendar</w:t>
            </w:r>
          </w:p>
        </w:tc>
        <w:tc>
          <w:tcPr>
            <w:tcW w:type="dxa" w:w="5426"/>
            <w:tcMar>
              <w:top w:type="dxa" w:w="80"/>
              <w:left w:type="dxa" w:w="100"/>
              <w:bottom w:type="dxa" w:w="80"/>
              <w:right w:type="dxa" w:w="100"/>
            </w:tcMar>
          </w:tcPr>
          <w:p>
            <w:r>
              <w:rPr>
                <w:sz w:val="19"/>
                <w:szCs w:val="19"/>
              </w:rPr>
              <w:t xml:space="preserve">Month view showing booked shifts by day; deep-links to Request Staff (with date pre-filled) and My Requests.</w:t>
            </w:r>
          </w:p>
        </w:tc>
      </w:tr>
      <w:tr>
        <w:tc>
          <w:tcPr>
            <w:tcW w:type="dxa" w:w="2000"/>
            <w:tcMar>
              <w:top w:type="dxa" w:w="80"/>
              <w:left w:type="dxa" w:w="100"/>
              <w:bottom w:type="dxa" w:w="80"/>
              <w:right w:type="dxa" w:w="100"/>
            </w:tcMar>
          </w:tcPr>
          <w:p>
            <w:r>
              <w:rPr>
                <w:sz w:val="19"/>
                <w:szCs w:val="19"/>
              </w:rPr>
              <w:t xml:space="preserve">invoiceList</w:t>
            </w:r>
          </w:p>
        </w:tc>
        <w:tc>
          <w:tcPr>
            <w:tcW w:type="dxa" w:w="1600"/>
            <w:tcMar>
              <w:top w:type="dxa" w:w="80"/>
              <w:left w:type="dxa" w:w="100"/>
              <w:bottom w:type="dxa" w:w="80"/>
              <w:right w:type="dxa" w:w="100"/>
            </w:tcMar>
          </w:tcPr>
          <w:p>
            <w:r>
              <w:rPr>
                <w:sz w:val="19"/>
                <w:szCs w:val="19"/>
              </w:rPr>
              <w:t xml:space="preserve">Invoices</w:t>
            </w:r>
          </w:p>
        </w:tc>
        <w:tc>
          <w:tcPr>
            <w:tcW w:type="dxa" w:w="5426"/>
            <w:tcMar>
              <w:top w:type="dxa" w:w="80"/>
              <w:left w:type="dxa" w:w="100"/>
              <w:bottom w:type="dxa" w:w="80"/>
              <w:right w:type="dxa" w:w="100"/>
            </w:tcMar>
          </w:tcPr>
          <w:p>
            <w:r>
              <w:rPr>
                <w:sz w:val="19"/>
                <w:szCs w:val="19"/>
              </w:rPr>
              <w:t xml:space="preserve">Read-only invoice list with PDF download, plus a search box and sortable columns (client-side, no new Apex). Also gets a mobile card layout below phone/tablet width — simpler than the other two screens, since Invoices only has 6 columns, every field just shows directly on the card with no "Show more" toggle needed.</w:t>
            </w:r>
          </w:p>
        </w:tc>
      </w:tr>
      <w:tr>
        <w:tc>
          <w:tcPr>
            <w:tcW w:type="dxa" w:w="2000"/>
            <w:tcMar>
              <w:top w:type="dxa" w:w="80"/>
              <w:left w:type="dxa" w:w="100"/>
              <w:bottom w:type="dxa" w:w="80"/>
              <w:right w:type="dxa" w:w="100"/>
            </w:tcMar>
          </w:tcPr>
          <w:p>
            <w:r>
              <w:rPr>
                <w:sz w:val="19"/>
                <w:szCs w:val="19"/>
              </w:rPr>
              <w:t xml:space="preserve">supportRequestForm</w:t>
            </w:r>
          </w:p>
        </w:tc>
        <w:tc>
          <w:tcPr>
            <w:tcW w:type="dxa" w:w="1600"/>
            <w:tcMar>
              <w:top w:type="dxa" w:w="80"/>
              <w:left w:type="dxa" w:w="100"/>
              <w:bottom w:type="dxa" w:w="80"/>
              <w:right w:type="dxa" w:w="100"/>
            </w:tcMar>
          </w:tcPr>
          <w:p>
            <w:r>
              <w:rPr>
                <w:sz w:val="19"/>
                <w:szCs w:val="19"/>
              </w:rPr>
              <w:t xml:space="preserve">Support / Query</w:t>
            </w:r>
          </w:p>
        </w:tc>
        <w:tc>
          <w:tcPr>
            <w:tcW w:type="dxa" w:w="5426"/>
            <w:tcMar>
              <w:top w:type="dxa" w:w="80"/>
              <w:left w:type="dxa" w:w="100"/>
              <w:bottom w:type="dxa" w:w="80"/>
              <w:right w:type="dxa" w:w="100"/>
            </w:tcMar>
          </w:tcPr>
          <w:p>
            <w:r>
              <w:rPr>
                <w:sz w:val="19"/>
                <w:szCs w:val="19"/>
              </w:rPr>
              <w:t xml:space="preserve">Submits a general query (Subject + Description only — the request-type picker and the related-request picker have both been removed, since cancellation requests now come from My Requests and no longer need a "which request is this about" step here). Submit shows the same "Submitting…" saving state as Request Staff, plus a guaranteed inline banner on failure or if Subject is left blank.</w:t>
            </w:r>
          </w:p>
        </w:tc>
      </w:tr>
      <w:tr>
        <w:tc>
          <w:tcPr>
            <w:tcW w:type="dxa" w:w="2000"/>
            <w:tcMar>
              <w:top w:type="dxa" w:w="80"/>
              <w:left w:type="dxa" w:w="100"/>
              <w:bottom w:type="dxa" w:w="80"/>
              <w:right w:type="dxa" w:w="100"/>
            </w:tcMar>
          </w:tcPr>
          <w:p>
            <w:r>
              <w:rPr>
                <w:sz w:val="19"/>
                <w:szCs w:val="19"/>
              </w:rPr>
              <w:t xml:space="preserve">portalUserBadge</w:t>
            </w:r>
          </w:p>
        </w:tc>
        <w:tc>
          <w:tcPr>
            <w:tcW w:type="dxa" w:w="1600"/>
            <w:tcMar>
              <w:top w:type="dxa" w:w="80"/>
              <w:left w:type="dxa" w:w="100"/>
              <w:bottom w:type="dxa" w:w="80"/>
              <w:right w:type="dxa" w:w="100"/>
            </w:tcMar>
          </w:tcPr>
          <w:p>
            <w:r>
              <w:rPr>
                <w:sz w:val="19"/>
                <w:szCs w:val="19"/>
              </w:rPr>
              <w:t xml:space="preserve">Site header</w:t>
            </w:r>
          </w:p>
        </w:tc>
        <w:tc>
          <w:tcPr>
            <w:tcW w:type="dxa" w:w="5426"/>
            <w:tcMar>
              <w:top w:type="dxa" w:w="80"/>
              <w:left w:type="dxa" w:w="100"/>
              <w:bottom w:type="dxa" w:w="80"/>
              <w:right w:type="dxa" w:w="100"/>
            </w:tcMar>
          </w:tcPr>
          <w:p>
            <w:r>
              <w:rPr>
                <w:sz w:val="19"/>
                <w:szCs w:val="19"/>
              </w:rPr>
              <w:t xml:space="preserve">Shows the logged-in user’s name and Account name with a dropdown offering Log Out (functional) and View Profile (currently disabled, tagged "Coming soon" — the standard User record-page navigation did not resolve to a working page on the live site).</w:t>
            </w:r>
          </w:p>
        </w:tc>
      </w:tr>
      <w:tr>
        <w:tc>
          <w:tcPr>
            <w:tcW w:type="dxa" w:w="2000"/>
            <w:tcMar>
              <w:top w:type="dxa" w:w="80"/>
              <w:left w:type="dxa" w:w="100"/>
              <w:bottom w:type="dxa" w:w="80"/>
              <w:right w:type="dxa" w:w="100"/>
            </w:tcMar>
          </w:tcPr>
          <w:p>
            <w:r>
              <w:rPr>
                <w:sz w:val="19"/>
                <w:szCs w:val="19"/>
              </w:rPr>
              <w:t xml:space="preserve">timeFormatUtils / dateFormatUtils / sortTableUtils / fileDownloadUtils</w:t>
            </w:r>
          </w:p>
        </w:tc>
        <w:tc>
          <w:tcPr>
            <w:tcW w:type="dxa" w:w="1600"/>
            <w:tcMar>
              <w:top w:type="dxa" w:w="80"/>
              <w:left w:type="dxa" w:w="100"/>
              <w:bottom w:type="dxa" w:w="80"/>
              <w:right w:type="dxa" w:w="100"/>
            </w:tcMar>
          </w:tcPr>
          <w:p>
            <w:r>
              <w:rPr>
                <w:sz w:val="19"/>
                <w:szCs w:val="19"/>
              </w:rPr>
              <w:t xml:space="preserve">(shared, non-visual)</w:t>
            </w:r>
          </w:p>
        </w:tc>
        <w:tc>
          <w:tcPr>
            <w:tcW w:type="dxa" w:w="5426"/>
            <w:tcMar>
              <w:top w:type="dxa" w:w="80"/>
              <w:left w:type="dxa" w:w="100"/>
              <w:bottom w:type="dxa" w:w="80"/>
              <w:right w:type="dxa" w:w="100"/>
            </w:tcMar>
          </w:tcPr>
          <w:p>
            <w:r>
              <w:rPr>
                <w:sz w:val="19"/>
                <w:szCs w:val="19"/>
              </w:rPr>
              <w:t xml:space="preserve">Small client-side utility modules used across multiple screens: HH:MM and explicit DD/MM/YYYY formatting, and a shared sort comparator/column-header decorator — extracted during a codebase cleanup pass to remove logic that had been independently duplicated (in one case, triplicated) across components. fileDownloadUtils is new since the last review — a shared helper that fixes Invoice PDF and Reporting CSV downloads silently failing on iOS Safari (see the platform note below).</w:t>
            </w:r>
          </w:p>
        </w:tc>
      </w:tr>
    </w:tbl>
    <w:p>
      <w:pPr>
        <w:spacing w:after="160"/>
      </w:pPr>
      <w:r>
        <w:rPr>
          <w:b/>
          <w:bCs/>
        </w:rPr>
        <w:t xml:space="preserve">Platform note worth keeping in mind for future components: </w:t>
      </w:r>
      <w:r>
        <w:t xml:space="preserve">Experience Cloud LWR sites (this portal’s site type) do not render lightning/platformShowToastEvent toasts at all. A blocked or failed action that only shows a toast will look like it silently did nothing. Request Staff and Support/Query both discovered this the hard way — their toast dispatches are kept in the code (harmless, in case a component is ever reused somewhere toasts do render) but are backed by guaranteed inline banners rendered directly in the component. A second, related platform quirk surfaced building Reporting’s CSV download: a Blob + URL.createObjectURL("blob:...") link — the standard browser pattern — didn’t actually download anything on this site, the link just navigated to a blank page. A data: URI (the whole file encoded directly into the anchor’s href) sidesteps it entirely and is what Reporting uses today. Any future component built for this site should test both of these early rather than assume the textbook browser pattern works here.</w:t>
      </w:r>
    </w:p>
    <w:p>
      <w:pPr>
        <w:spacing w:after="160"/>
      </w:pPr>
      <w:r>
        <w:rPr>
          <w:b/>
          <w:bCs/>
        </w:rPr>
        <w:t xml:space="preserve">A third platform quirk, found since the last review: </w:t>
      </w:r>
      <w:r>
        <w:t xml:space="preserve">iOS Safari has never honoured the &lt;a download&gt; attribute at all — a long-standing WebKit limitation, not a bug a newer iOS version fixes — regardless of whether the href is a data: URI, a blob: URL, or a same-origin file. This silently broke both the Invoice PDF download and Reporting’s CSV download on an iPhone/iPad, even though both already worked fine on desktop and Android. Fixed with a new shared module (fileDownloadUtils) that only branches for iOS: instead of clicking an anchor, it opens the same data: URI directly via window.open, letting iOS’s own viewer (e.g. Safari’s built-in PDF viewer, with its own native Share/Save button) take over. Desktop and Android are untouched. A fourth quirk, found building the new mobile card layout: a CSS specificity mistake (a plain single-class "hide" rule losing the cascade to an earlier, more specific class+element "layout" rule) meant the hidden-by-default secondary fields never actually hid on a phone, despite the media query itself being correct — worth double-checking with a real browser’s computed styles, not just a code read, since Jest/jsdom doesn’t compute CSS cascade at all and the unit tests passed throughout.</w:t>
      </w:r>
    </w:p>
    <w:p>
      <w:pPr>
        <w:pStyle w:val="Heading2"/>
        <w:spacing w:after="120" w:before="280"/>
      </w:pPr>
      <w:r>
        <w:t xml:space="preserve">3.4 Other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6325C" w:val="clear"/>
            <w:tcMar>
              <w:top w:type="dxa" w:w="80"/>
              <w:left w:type="dxa" w:w="100"/>
              <w:bottom w:type="dxa" w:w="80"/>
              <w:right w:type="dxa" w:w="100"/>
            </w:tcMar>
          </w:tcPr>
          <w:p>
            <w:r>
              <w:rPr>
                <w:b/>
                <w:bCs/>
                <w:color w:val="FFFFFF"/>
                <w:sz w:val="19"/>
                <w:szCs w:val="19"/>
              </w:rPr>
              <w:t xml:space="preserve">Item</w:t>
            </w:r>
          </w:p>
        </w:tc>
        <w:tc>
          <w:tcPr>
            <w:tcW w:type="dxa" w:w="6626"/>
            <w:shd w:fill="16325C" w:val="clear"/>
            <w:tcMar>
              <w:top w:type="dxa" w:w="80"/>
              <w:left w:type="dxa" w:w="100"/>
              <w:bottom w:type="dxa" w:w="80"/>
              <w:right w:type="dxa" w:w="100"/>
            </w:tcMar>
          </w:tcPr>
          <w:p>
            <w:r>
              <w:rPr>
                <w:b/>
                <w:bCs/>
                <w:color w:val="FFFFFF"/>
                <w:sz w:val="19"/>
                <w:szCs w:val="19"/>
              </w:rPr>
              <w:t xml:space="preserve">Purpose</w:t>
            </w:r>
          </w:p>
        </w:tc>
      </w:tr>
      <w:tr>
        <w:tc>
          <w:tcPr>
            <w:tcW w:type="dxa" w:w="2400"/>
            <w:tcMar>
              <w:top w:type="dxa" w:w="80"/>
              <w:left w:type="dxa" w:w="100"/>
              <w:bottom w:type="dxa" w:w="80"/>
              <w:right w:type="dxa" w:w="100"/>
            </w:tcMar>
          </w:tcPr>
          <w:p>
            <w:r>
              <w:rPr>
                <w:sz w:val="19"/>
                <w:szCs w:val="19"/>
              </w:rPr>
              <w:t xml:space="preserve">Alliance_Client_Portal_User (Permission Set)</w:t>
            </w:r>
          </w:p>
        </w:tc>
        <w:tc>
          <w:tcPr>
            <w:tcW w:type="dxa" w:w="6626"/>
            <w:tcMar>
              <w:top w:type="dxa" w:w="80"/>
              <w:left w:type="dxa" w:w="100"/>
              <w:bottom w:type="dxa" w:w="80"/>
              <w:right w:type="dxa" w:w="100"/>
            </w:tcMar>
          </w:tcPr>
          <w:p>
            <w:r>
              <w:rPr>
                <w:sz w:val="19"/>
                <w:szCs w:val="19"/>
              </w:rPr>
              <w:t xml:space="preserve">Grants every portal Contact’s User exactly the object, field, and Apex class access the portal needs — nothing more (no delete access on anything).</w:t>
            </w:r>
          </w:p>
        </w:tc>
      </w:tr>
      <w:tr>
        <w:tc>
          <w:tcPr>
            <w:tcW w:type="dxa" w:w="2400"/>
            <w:tcMar>
              <w:top w:type="dxa" w:w="80"/>
              <w:left w:type="dxa" w:w="100"/>
              <w:bottom w:type="dxa" w:w="80"/>
              <w:right w:type="dxa" w:w="100"/>
            </w:tcMar>
          </w:tcPr>
          <w:p>
            <w:r>
              <w:rPr>
                <w:sz w:val="19"/>
                <w:szCs w:val="19"/>
              </w:rPr>
              <w:t xml:space="preserve">Alliance_Client_Portal_Sharing_Set</w:t>
            </w:r>
          </w:p>
        </w:tc>
        <w:tc>
          <w:tcPr>
            <w:tcW w:type="dxa" w:w="6626"/>
            <w:tcMar>
              <w:top w:type="dxa" w:w="80"/>
              <w:left w:type="dxa" w:w="100"/>
              <w:bottom w:type="dxa" w:w="80"/>
              <w:right w:type="dxa" w:w="100"/>
            </w:tcMar>
          </w:tcPr>
          <w:p>
            <w:r>
              <w:rPr>
                <w:sz w:val="19"/>
                <w:szCs w:val="19"/>
              </w:rPr>
              <w:t xml:space="preserve">Grants each portal user read access to their own Account (which cascades to Facility__c, Ward__c, Invoice__c through the Master-Detail relationships). Known deploy issue — must be configured by hand; see Section 8. Also has a known cascade limitation for deeper Master-Detail chains — see Section 5, item 8.</w:t>
            </w:r>
          </w:p>
        </w:tc>
      </w:tr>
      <w:tr>
        <w:tc>
          <w:tcPr>
            <w:tcW w:type="dxa" w:w="2400"/>
            <w:tcMar>
              <w:top w:type="dxa" w:w="80"/>
              <w:left w:type="dxa" w:w="100"/>
              <w:bottom w:type="dxa" w:w="80"/>
              <w:right w:type="dxa" w:w="100"/>
            </w:tcMar>
          </w:tcPr>
          <w:p>
            <w:r>
              <w:rPr>
                <w:sz w:val="19"/>
                <w:szCs w:val="19"/>
              </w:rPr>
              <w:t xml:space="preserve">Tabs</w:t>
            </w:r>
          </w:p>
        </w:tc>
        <w:tc>
          <w:tcPr>
            <w:tcW w:type="dxa" w:w="6626"/>
            <w:tcMar>
              <w:top w:type="dxa" w:w="80"/>
              <w:left w:type="dxa" w:w="100"/>
              <w:bottom w:type="dxa" w:w="80"/>
              <w:right w:type="dxa" w:w="100"/>
            </w:tcMar>
          </w:tcPr>
          <w:p>
            <w:r>
              <w:rPr>
                <w:sz w:val="19"/>
                <w:szCs w:val="19"/>
              </w:rPr>
              <w:t xml:space="preserve">Facility__c, Ward__c, Staffing_Request__c, Invoice__c.</w:t>
            </w:r>
          </w:p>
        </w:tc>
      </w:tr>
      <w:tr>
        <w:tc>
          <w:tcPr>
            <w:tcW w:type="dxa" w:w="2400"/>
            <w:tcMar>
              <w:top w:type="dxa" w:w="80"/>
              <w:left w:type="dxa" w:w="100"/>
              <w:bottom w:type="dxa" w:w="80"/>
              <w:right w:type="dxa" w:w="100"/>
            </w:tcMar>
          </w:tcPr>
          <w:p>
            <w:r>
              <w:rPr>
                <w:sz w:val="19"/>
                <w:szCs w:val="19"/>
              </w:rPr>
              <w:t xml:space="preserve">Network / Experience Cloud site (AllianceClientPortal)</w:t>
            </w:r>
          </w:p>
        </w:tc>
        <w:tc>
          <w:tcPr>
            <w:tcW w:type="dxa" w:w="6626"/>
            <w:tcMar>
              <w:top w:type="dxa" w:w="80"/>
              <w:left w:type="dxa" w:w="100"/>
              <w:bottom w:type="dxa" w:w="80"/>
              <w:right w:type="dxa" w:w="100"/>
            </w:tcMar>
          </w:tcPr>
          <w:p>
            <w:r>
              <w:rPr>
                <w:sz w:val="19"/>
                <w:szCs w:val="19"/>
              </w:rPr>
              <w:t xml:space="preserve">Placeholder metadata only. The real Experience Builder site — pages, theme, navigation — is generated by Salesforce when the site is created in Setup, and pulled back into source control afterwards; it cannot be hand-authored as static XML up front.</w:t>
            </w:r>
          </w:p>
        </w:tc>
      </w:tr>
    </w:tbl>
    <w:p>
      <w:r>
        <w:br w:type="page"/>
      </w:r>
    </w:p>
    <w:p>
      <w:pPr>
        <w:pStyle w:val="Heading1"/>
        <w:spacing w:after="160" w:before="360"/>
      </w:pPr>
      <w:r>
        <w:t xml:space="preserve">4. Screens &amp; functionality summary</w:t>
      </w:r>
    </w:p>
    <w:p>
      <w:pPr>
        <w:pStyle w:val="ListParagraph"/>
        <w:numPr>
          <w:ilvl w:val="0"/>
          <w:numId w:val="1"/>
        </w:numPr>
        <w:spacing w:after="100"/>
      </w:pPr>
      <w:r>
        <w:t xml:space="preserve">Home — five dashboard tiles (Open Requests, Unable to Fill Shifts, Filled Shifts, Cancelled Shifts, Overdue Invoices), each clickable through to the relevant filtered screen.</w:t>
      </w:r>
    </w:p>
    <w:p>
      <w:pPr>
        <w:pStyle w:val="ListParagraph"/>
        <w:numPr>
          <w:ilvl w:val="0"/>
          <w:numId w:val="1"/>
        </w:numPr>
        <w:spacing w:after="100"/>
      </w:pPr>
      <w:r>
        <w:t xml:space="preserve">Request Staff — submit a single shift/staff request against a Facility (and optional Ward) and one of 16 Roles. Blocks a Shift Date before today, an End Time equal to Start Time, and any missing required field, all client-side and (for the time/date rules) server-side too, with a visible "Submitting…" state and a guaranteed inline banner while it saves.</w:t>
      </w:r>
    </w:p>
    <w:p>
      <w:pPr>
        <w:pStyle w:val="ListParagraph"/>
        <w:numPr>
          <w:ilvl w:val="0"/>
          <w:numId w:val="1"/>
        </w:numPr>
        <w:spacing w:after="100"/>
      </w:pPr>
      <w:r>
        <w:t xml:space="preserve">My Requests — track every request’s status, including an Assigned Contact column and a per-row Action menu to request cancellation. Defaults to newest-request-first, with filters carried in via deep links from Home or Calendar, plus a search box, sortable columns, and pagination at 10 rows per page.</w:t>
      </w:r>
    </w:p>
    <w:p>
      <w:pPr>
        <w:pStyle w:val="ListParagraph"/>
        <w:numPr>
          <w:ilvl w:val="0"/>
          <w:numId w:val="1"/>
        </w:numPr>
        <w:spacing w:after="100"/>
      </w:pPr>
      <w:r>
        <w:t xml:space="preserve">Reporting (new) — pick a date range (All / Last 7 Days / Last Week / Last Month / Custom Range) over the same request data as My Requests, sort it, and download it as a CSV.</w:t>
      </w:r>
    </w:p>
    <w:p>
      <w:pPr>
        <w:pStyle w:val="ListParagraph"/>
        <w:numPr>
          <w:ilvl w:val="0"/>
          <w:numId w:val="1"/>
        </w:numPr>
        <w:spacing w:after="100"/>
      </w:pPr>
      <w:r>
        <w:t xml:space="preserve">Calendar — a month grid showing which days have booked shifts; clicking a day shows that day’s bookings and a Request Staff shortcut pre-filled with the date.</w:t>
      </w:r>
    </w:p>
    <w:p>
      <w:pPr>
        <w:pStyle w:val="ListParagraph"/>
        <w:numPr>
          <w:ilvl w:val="0"/>
          <w:numId w:val="1"/>
        </w:numPr>
        <w:spacing w:after="100"/>
      </w:pPr>
      <w:r>
        <w:t xml:space="preserve">Invoices — read-only invoice list with PDF download, plus a search box and sortable columns.</w:t>
      </w:r>
    </w:p>
    <w:p>
      <w:pPr>
        <w:pStyle w:val="ListParagraph"/>
        <w:numPr>
          <w:ilvl w:val="0"/>
          <w:numId w:val="1"/>
        </w:numPr>
        <w:spacing w:after="100"/>
      </w:pPr>
      <w:r>
        <w:t xml:space="preserve">Support / Query — submit a general query, with a visible "Submitting…" state and a guaranteed inline banner on failure or a blank Subject.</w:t>
      </w:r>
    </w:p>
    <w:p>
      <w:pPr>
        <w:pStyle w:val="ListParagraph"/>
        <w:numPr>
          <w:ilvl w:val="0"/>
          <w:numId w:val="1"/>
        </w:numPr>
        <w:spacing w:after="100"/>
      </w:pPr>
      <w:r>
        <w:t xml:space="preserve">Site header — logged-in user’s name and Account (company) name, with a Log Out action (View Profile is a disabled "Coming soon" placeholder for now).</w:t>
      </w:r>
    </w:p>
    <w:p>
      <w:pPr>
        <w:pStyle w:val="ListParagraph"/>
        <w:numPr>
          <w:ilvl w:val="0"/>
          <w:numId w:val="1"/>
        </w:numPr>
        <w:spacing w:after="100"/>
      </w:pPr>
      <w:r>
        <w:t xml:space="preserve">Notifications — the requesting Contact is emailed (Shift Date, Start Time, End Time, and Assigned Contact once populated) when a request is submitted, and again whenever its status changes to Filled, Unable to Fill, or Cancelled (including when the daily overdue job marks it Unable to Fill, when an internal user changes the status by hand, or when a My Requests cancellation is actioned).</w:t>
      </w:r>
    </w:p>
    <w:p>
      <w:pPr>
        <w:pStyle w:val="Heading1"/>
        <w:spacing w:after="160" w:before="360"/>
      </w:pPr>
      <w:r>
        <w:t xml:space="preserve">5. Integration considerations — Bullhorn &amp; 2Cloud9 (please review with your administrator)</w:t>
      </w:r>
    </w:p>
    <w:p>
      <w:pPr>
        <w:spacing w:after="160"/>
      </w:pPr>
      <w:r>
        <w:rPr>
          <w:b/>
          <w:bCs/>
        </w:rPr>
        <w:t xml:space="preserve">This is the most important section of this document. </w:t>
      </w:r>
      <w:r>
        <w:t xml:space="preserve">This portal was designed and built with no visibility into how Bullhorn or 2Cloud9 are configured in your org. The two integration points below are deliberately built behind an interface + factory pattern so a real integration can be substituted later without rewriting any calling code — but right now they are mocked (fake data only), not connected to anything real:</w:t>
      </w:r>
    </w:p>
    <w:p>
      <w:pPr>
        <w:pStyle w:val="ListParagraph"/>
        <w:numPr>
          <w:ilvl w:val="0"/>
          <w:numId w:val="1"/>
        </w:numPr>
        <w:spacing w:after="100"/>
      </w:pPr>
      <w:r>
        <w:t xml:space="preserve">WorkforceManagementServiceFactory.getService() → MockWorkforceManagementService — stands in for Bullhorn / Classic Scheduler. "Submitting" a demand just generates a fake reference number; "checking status" always returns a fake fixed result.</w:t>
      </w:r>
    </w:p>
    <w:p>
      <w:pPr>
        <w:pStyle w:val="ListParagraph"/>
        <w:numPr>
          <w:ilvl w:val="0"/>
          <w:numId w:val="1"/>
        </w:numPr>
        <w:spacing w:after="100"/>
      </w:pPr>
      <w:r>
        <w:t xml:space="preserve">InvoiceSyncServiceFactory.getService() → Mock2Cloud9InvoiceService — stands in for 2Cloud9. Invoice sync is a deliberate no-op; PDF download returns placeholder text, not a real file.</w:t>
      </w:r>
    </w:p>
    <w:p>
      <w:pPr>
        <w:spacing w:after="160"/>
      </w:pPr>
      <w:r>
        <w:t xml:space="preserve">Before deploying into the org that already runs Bullhorn and 2Cloud9, please work through the following with your Salesforce administrator and the owner of those integrations:</w:t>
      </w:r>
    </w:p>
    <w:p>
      <w:pPr>
        <w:spacing w:after="160"/>
      </w:pPr>
      <w:r>
        <w:rPr>
          <w:b/>
          <w:bCs/>
        </w:rPr>
        <w:t xml:space="preserve">1. </w:t>
      </w:r>
      <w:r>
        <w:t xml:space="preserve">Object/data model overlap — Does Bullhorn already create Salesforce objects for job or demand requests or shifts (e.g. Job Order, Placement, Shift)? Does 2Cloud9 already sync invoices into Salesforce? If either is true, a decision is needed: should Staffing_Request__c / Invoice__c be new portal-facing records that a middleware process syncs to/from Bullhorn’s and 2Cloud9’s existing objects, or should the portal instead be adapted to read and write directly against those existing objects, without Staffing_Request__c / Invoice__c at all? This build assumes the former but does not decide it — that is an architecture call for your team.</w:t>
      </w:r>
    </w:p>
    <w:p>
      <w:pPr>
        <w:spacing w:after="160"/>
      </w:pPr>
      <w:r>
        <w:rPr>
          <w:b/>
          <w:bCs/>
        </w:rPr>
        <w:t xml:space="preserve">2. </w:t>
      </w:r>
      <w:r>
        <w:t xml:space="preserve">Namespace/API name collisions — Confirm none of this build’s custom API names (Facility__c, Ward__c, Staffing_Request__c, Invoice__c, and the two added Case fields) collide with anything the Bullhorn or 2Cloud9 managed packages already added to the org.</w:t>
      </w:r>
    </w:p>
    <w:p>
      <w:pPr>
        <w:spacing w:after="160"/>
      </w:pPr>
      <w:r>
        <w:rPr>
          <w:b/>
          <w:bCs/>
        </w:rPr>
        <w:t xml:space="preserve">3. </w:t>
      </w:r>
      <w:r>
        <w:t xml:space="preserve">External ID mapping — External_Demand_Id__c and External_Invoice_Id__c are placeholder text fields with no real values yet. Confirm what unique identifiers Bullhorn and 2Cloud9 actually use, so these fields (or replacements) can store the correct correlation key once the real integration is built.</w:t>
      </w:r>
    </w:p>
    <w:p>
      <w:pPr>
        <w:spacing w:after="160"/>
      </w:pPr>
      <w:r>
        <w:rPr>
          <w:b/>
          <w:bCs/>
        </w:rPr>
        <w:t xml:space="preserve">4. </w:t>
      </w:r>
      <w:r>
        <w:t xml:space="preserve">Existing portal/license setup — If Bullhorn or 2Cloud9 already provision their own Experience Cloud site, community users, or licenses in this org, decide whether this portal should be a new, separate site or merged into an existing one, and whether the same Contacts/Users can be reused.</w:t>
      </w:r>
    </w:p>
    <w:p>
      <w:pPr>
        <w:spacing w:after="160"/>
      </w:pPr>
      <w:r>
        <w:rPr>
          <w:b/>
          <w:bCs/>
        </w:rPr>
        <w:t xml:space="preserve">5. </w:t>
      </w:r>
      <w:r>
        <w:t xml:space="preserve">Sharing &amp; visibility — Confirm the org’s existing sharing model (Account org-wide default, and any sharing rules Bullhorn/2Cloud9 already depend on) won’t conflict with this build’s Sharing Set, which expects Account org-wide default to be Private and grants Read access mapped from Contact.AccountId (see Section 7).</w:t>
      </w:r>
    </w:p>
    <w:p>
      <w:pPr>
        <w:spacing w:after="160"/>
      </w:pPr>
      <w:r>
        <w:rPr>
          <w:b/>
          <w:bCs/>
        </w:rPr>
        <w:t xml:space="preserve">6. </w:t>
      </w:r>
      <w:r>
        <w:t xml:space="preserve">Scheduled job capacity — Confirm no existing scheduled Apex job already handles overdue-request cleanup, and that the org has a free scheduled-job slot for StaffingRequestOverdueScheduler.</w:t>
      </w:r>
    </w:p>
    <w:p>
      <w:pPr>
        <w:spacing w:after="160"/>
      </w:pPr>
      <w:r>
        <w:rPr>
          <w:b/>
          <w:bCs/>
        </w:rPr>
        <w:t xml:space="preserve">7. </w:t>
      </w:r>
      <w:r>
        <w:t xml:space="preserve">Replacing the mocks — Once (1)–(3) are answered, connecting the real integrations is scoped to two files by design: MockWorkforceManagementService.cls and Mock2Cloud9InvoiceService.cls (via their factories). No Lightning Web Component or controller code should need to change.</w:t>
      </w:r>
    </w:p>
    <w:p>
      <w:pPr>
        <w:spacing w:after="160"/>
      </w:pPr>
      <w:r>
        <w:rPr>
          <w:b/>
          <w:bCs/>
        </w:rPr>
        <w:t xml:space="preserve">8. </w:t>
      </w:r>
      <w:r>
        <w:t xml:space="preserve">A genuine Sharing Set limitation was found and worked around — worth checking for elsewhere. Staffing_Request__c is two Master-Detail hops from Account (Staffing_Request__c → Facility__c → Account). Submitting a new request, or flagging a cancellation on an existing one, failed with Salesforce’s own "insufficient access rights on cross-reference id" error at the moment of insert/update — even though the exact same Facility record was readable moments earlier through an ordinary "with sharing" query, and even for a portal user confirmed to already have the correct permission set assigned. In other words, the Sharing Set’s access grant doesn’t reliably cascade two Master-Detail hops deep at DML time, only for reads. This build’s fix was to explicitly re-verify (via its own query) that the record genuinely belongs to the requesting user’s Account immediately before the write, then perform that specific write through a narrowly-scoped "without sharing" class (WithoutSharingDml) rather than depend on the Sharing Set for it. If the eventual Bullhorn/2Cloud9 data model introduces its own multi-level Master-Detail chains under Account for portal-visible objects, budget time to check whether the same limitation applies there, and whether the same explicit-check-then-bypass pattern is the right fix or whether a different sharing mechanism (e.g. Apex-managed sharing, or a shallower object hierarchy) is a better long-term answer.</w:t>
      </w:r>
    </w:p>
    <w:p>
      <w:pPr>
        <w:pStyle w:val="Heading1"/>
        <w:spacing w:after="160" w:before="360"/>
      </w:pPr>
      <w:r>
        <w:t xml:space="preserve">6. Additional Salesforce licensing considerations</w:t>
      </w:r>
    </w:p>
    <w:p>
      <w:pPr>
        <w:spacing w:after="160"/>
      </w:pPr>
      <w:r>
        <w:t xml:space="preserve">None of the specifics below are verified against your actual contract or Salesforce’s current price book — confirm exact SKU names and pricing with your Salesforce Account Executive. This section is meant to make that conversation efficient, not to replace it.</w:t>
      </w:r>
    </w:p>
    <w:p>
      <w:pPr>
        <w:pStyle w:val="Heading3"/>
        <w:spacing w:after="100" w:before="220"/>
      </w:pPr>
      <w:r>
        <w:t xml:space="preserve">Two separate licensing questions</w:t>
      </w:r>
    </w:p>
    <w:p>
      <w:pPr>
        <w:pStyle w:val="ListParagraph"/>
        <w:numPr>
          <w:ilvl w:val="0"/>
          <w:numId w:val="1"/>
        </w:numPr>
        <w:spacing w:after="100"/>
      </w:pPr>
      <w:r>
        <w:t xml:space="preserve">Does your org’s Salesforce edition support Digital Experiences (Experience Cloud sites) at all? This requires Enterprise, Unlimited, Performance, or Developer Edition. If the org running Bullhorn for Salesforce and 2Cloud9 is on Professional or Essentials, an edition upgrade may be needed before anything else.</w:t>
      </w:r>
    </w:p>
    <w:p>
      <w:pPr>
        <w:pStyle w:val="ListParagraph"/>
        <w:numPr>
          <w:ilvl w:val="0"/>
          <w:numId w:val="1"/>
        </w:numPr>
        <w:spacing w:after="100"/>
      </w:pPr>
      <w:r>
        <w:t xml:space="preserve">Separately: external user licenses for the client contacts who will log into this portal. Your existing internal Salesforce licenses (for staff using Bullhorn/2Cloud9) do not cover this — external portal users are a distinct license type and are not automatically included.</w:t>
      </w:r>
    </w:p>
    <w:p>
      <w:pPr>
        <w:pStyle w:val="Heading3"/>
        <w:spacing w:after="100" w:before="220"/>
      </w:pPr>
      <w:r>
        <w:t xml:space="preserve">Why this build only needs the base tier</w:t>
      </w:r>
    </w:p>
    <w:p>
      <w:pPr>
        <w:spacing w:after="160"/>
      </w:pPr>
      <w:r>
        <w:t xml:space="preserve">This build’s sharing model deliberately uses a Sharing Set (Alliance_Client_Portal_Sharing_Set) rather than Role-based sharing. That choice matters for licensing: Sharing Sets work with the base external license tier (historically called Customer Community / Customer Community Login), which does not support Roles. The next tier up (historically Customer Community Plus) adds Roles and standard reports/dashboards, at a higher cost — this build does not need it. When budgeting, ask your Account Executive for base-tier external licensing, not the Plus tier.</w:t>
      </w:r>
    </w:p>
    <w:p>
      <w:pPr>
        <w:spacing w:after="160"/>
      </w:pPr>
      <w:r>
        <w:t xml:space="preserve">Naming caveat: Salesforce restructured external-user licensing into an "External Apps" packaging model in recent years, so the SKU your AE quotes may not literally be called "Customer Community" even though the underlying capability is the same. Confirm the capability (Sharing Set support, no Roles required) rather than matching the label exactly.</w:t>
      </w:r>
    </w:p>
    <w:p>
      <w:pPr>
        <w:pStyle w:val="Heading3"/>
        <w:spacing w:after="100" w:before="220"/>
      </w:pPr>
      <w:r>
        <w:t xml:space="preserve">Other questions worth raising with your Account Executive</w:t>
      </w:r>
    </w:p>
    <w:p>
      <w:pPr>
        <w:pStyle w:val="ListParagraph"/>
        <w:numPr>
          <w:ilvl w:val="0"/>
          <w:numId w:val="1"/>
        </w:numPr>
        <w:spacing w:after="100"/>
      </w:pPr>
      <w:r>
        <w:t xml:space="preserve">Does the org’s current edition already include any bundled Experience Cloud login/member allocation? Some editions include a small amount, which reduces net-new purchase.</w:t>
      </w:r>
    </w:p>
    <w:p>
      <w:pPr>
        <w:pStyle w:val="ListParagraph"/>
        <w:numPr>
          <w:ilvl w:val="0"/>
          <w:numId w:val="1"/>
        </w:numPr>
        <w:spacing w:after="100"/>
      </w:pPr>
      <w:r>
        <w:t xml:space="preserve">Pricing model: external licenses are typically sold per-login (pay for session/login volume) or per-member (fixed cost per named user) — the right choice depends on how often each client contact will actually use the portal. Have a rough headcount of expected portal users ready for this conversation.</w:t>
      </w:r>
    </w:p>
    <w:p>
      <w:pPr>
        <w:pStyle w:val="Heading3"/>
        <w:spacing w:after="100" w:before="220"/>
      </w:pPr>
      <w:r>
        <w:t xml:space="preserve">Separate from Salesforce: check with Bullhorn and 2Cloud9 directly</w:t>
      </w:r>
    </w:p>
    <w:p>
      <w:pPr>
        <w:spacing w:after="160"/>
      </w:pPr>
      <w:r>
        <w:t xml:space="preserve">Bullhorn’s and 2Cloud9’s own managed-package license agreements may separately restrict or charge extra for exposing their data to external/portal users, independent of what Salesforce itself charges. This is tied to the same data-model-overlap question raised in Section 5 — if the eventual integration design has this portal read or write Bullhorn/2Cloud9 objects directly, confirm with both vendors’ account teams whether your current contract already covers external/portal user access to that data, or whether that is a separate add-on.</w:t>
      </w:r>
    </w:p>
    <w:p>
      <w:pPr>
        <w:pStyle w:val="Heading1"/>
        <w:spacing w:after="160" w:before="360"/>
      </w:pPr>
      <w:r>
        <w:t xml:space="preserve">7. Deployment mechanics</w:t>
      </w:r>
    </w:p>
    <w:p>
      <w:pPr>
        <w:pStyle w:val="ListParagraph"/>
        <w:numPr>
          <w:ilvl w:val="0"/>
          <w:numId w:val="1"/>
        </w:numPr>
        <w:spacing w:after="100"/>
      </w:pPr>
      <w:r>
        <w:t xml:space="preserve">This is a standard Salesforce DX (SFDX) source-format project — deployed with the Salesforce CLI (sf project deploy start), not an installed package.</w:t>
      </w:r>
    </w:p>
    <w:p>
      <w:pPr>
        <w:pStyle w:val="ListParagraph"/>
        <w:numPr>
          <w:ilvl w:val="0"/>
          <w:numId w:val="1"/>
        </w:numPr>
        <w:spacing w:after="100"/>
      </w:pPr>
      <w:r>
        <w:t xml:space="preserve">Salesforce metadata deploys are all-or-nothing: a single failing component rolls back the entire deploy.</w:t>
      </w:r>
    </w:p>
    <w:p>
      <w:pPr>
        <w:pStyle w:val="ListParagraph"/>
        <w:numPr>
          <w:ilvl w:val="0"/>
          <w:numId w:val="1"/>
        </w:numPr>
        <w:spacing w:after="100"/>
      </w:pPr>
      <w:r>
        <w:t xml:space="preserve">The Network/site placeholder metadata will fail to deploy until the real Experience Cloud site exists in the target org — create the site first (or exclude force-app/main/default/networks from the initial deploy), then retrieve the real generated site metadata afterwards.</w:t>
      </w:r>
    </w:p>
    <w:p>
      <w:pPr>
        <w:pStyle w:val="ListParagraph"/>
        <w:numPr>
          <w:ilvl w:val="0"/>
          <w:numId w:val="1"/>
        </w:numPr>
        <w:spacing w:after="100"/>
      </w:pPr>
      <w:r>
        <w:t xml:space="preserve">The Sharing Set metadata has a known deploy issue in this build and is excluded from automated deploys (.forceignore) — it must be configured by hand in Setup → Sharing Settings → Sharing Sets (see Section 3.4), and even once configured has the cascade limitation described in Section 5, item 8.</w:t>
      </w:r>
    </w:p>
    <w:p>
      <w:pPr>
        <w:pStyle w:val="ListParagraph"/>
        <w:numPr>
          <w:ilvl w:val="0"/>
          <w:numId w:val="1"/>
        </w:numPr>
        <w:spacing w:after="100"/>
      </w:pPr>
      <w:r>
        <w:t xml:space="preserve">An earlier version of this build included a Timesheet__c object and related Apex/LWC for timesheet approval; that feature was removed at the client’s request and no longer exists in this build. If a very early version was ever deployed anywhere, Timesheet__c would need manual removal (Salesforce deploys are additive and won’t delete it automatically).</w:t>
      </w:r>
    </w:p>
    <w:p>
      <w:pPr>
        <w:pStyle w:val="Heading1"/>
        <w:spacing w:after="160" w:before="360"/>
      </w:pPr>
      <w:r>
        <w:t xml:space="preserve">8. Manual setup steps (cannot be captured in metadata)</w:t>
      </w:r>
    </w:p>
    <w:p>
      <w:pPr>
        <w:pStyle w:val="ListParagraph"/>
        <w:numPr>
          <w:ilvl w:val="0"/>
          <w:numId w:val="1"/>
        </w:numPr>
        <w:spacing w:after="100"/>
      </w:pPr>
      <w:r>
        <w:t xml:space="preserve">Create the Experience Cloud site itself (Setup → Digital Experiences, or sf org create community) and compose its pages in Experience Builder, wiring up navigation across the seven screens (including the new Reporting page).</w:t>
      </w:r>
    </w:p>
    <w:p>
      <w:pPr>
        <w:pStyle w:val="ListParagraph"/>
        <w:numPr>
          <w:ilvl w:val="0"/>
          <w:numId w:val="1"/>
        </w:numPr>
        <w:spacing w:after="100"/>
      </w:pPr>
      <w:r>
        <w:t xml:space="preserve">In the site Header, remove the standard Profile Menu component and add the portalUserBadge component in its place. Its Log Out action is fully functional; View Profile is currently a disabled "Coming soon" placeholder — the standard User record-page navigation didn’t resolve to a working page on the live site, so it needs the correct target page identified for this org before it can be re-enabled.</w:t>
      </w:r>
    </w:p>
    <w:p>
      <w:pPr>
        <w:pStyle w:val="ListParagraph"/>
        <w:numPr>
          <w:ilvl w:val="0"/>
          <w:numId w:val="1"/>
        </w:numPr>
        <w:spacing w:after="100"/>
      </w:pPr>
      <w:r>
        <w:t xml:space="preserve">Provision portal Contacts as Users under a Customer Community / Customer Community Login (or Plus) license, and Enable Customer User on each Contact.</w:t>
      </w:r>
    </w:p>
    <w:p>
      <w:pPr>
        <w:pStyle w:val="ListParagraph"/>
        <w:numPr>
          <w:ilvl w:val="0"/>
          <w:numId w:val="1"/>
        </w:numPr>
        <w:spacing w:after="100"/>
      </w:pPr>
      <w:r>
        <w:t xml:space="preserve">Assign the Alliance_Client_Portal_User permission set to every portal user — and if you see the same "insufficient access rights on cross-reference id" error described in Section 5, item 8, confirm this is actually assigned before assuming it’s a data/sharing problem; that was the first thing this build ruled out on the live site.</w:t>
      </w:r>
    </w:p>
    <w:p>
      <w:pPr>
        <w:pStyle w:val="ListParagraph"/>
        <w:numPr>
          <w:ilvl w:val="0"/>
          <w:numId w:val="1"/>
        </w:numPr>
        <w:spacing w:after="100"/>
      </w:pPr>
      <w:r>
        <w:t xml:space="preserve">Configure the Sharing Set by hand (Section 7) and confirm Account’s organization-wide default is Private.</w:t>
      </w:r>
    </w:p>
    <w:p>
      <w:pPr>
        <w:pStyle w:val="ListParagraph"/>
        <w:numPr>
          <w:ilvl w:val="0"/>
          <w:numId w:val="1"/>
        </w:numPr>
        <w:spacing w:after="100"/>
      </w:pPr>
      <w:r>
        <w:t xml:space="preserve">Activate StaffingRequestOverdueScheduler once via Setup → Apex Classes → Schedule Apex (daily is recommended).</w:t>
      </w:r>
    </w:p>
    <w:p>
      <w:pPr>
        <w:pStyle w:val="ListParagraph"/>
        <w:numPr>
          <w:ilvl w:val="0"/>
          <w:numId w:val="1"/>
        </w:numPr>
        <w:spacing w:after="100"/>
      </w:pPr>
      <w:r>
        <w:t xml:space="preserve">Confirm the real Experience Builder page API names for Request Staff, My Requests, Reporting, and Invoices, and update the placeholder page-name constant in requestStaffCalendar.js if it differs once that page exists.</w:t>
      </w:r>
    </w:p>
    <w:p>
      <w:pPr>
        <w:pStyle w:val="Heading1"/>
        <w:spacing w:after="160" w:before="360"/>
      </w:pPr>
      <w:r>
        <w:t xml:space="preserve">9. Verification status</w:t>
      </w:r>
    </w:p>
    <w:p>
      <w:pPr>
        <w:pStyle w:val="Heading3"/>
        <w:spacing w:after="100" w:before="220"/>
      </w:pPr>
      <w:r>
        <w:t xml:space="preserve">Verified in this build environment (no org needed)</w:t>
      </w:r>
    </w:p>
    <w:p>
      <w:pPr>
        <w:pStyle w:val="ListParagraph"/>
        <w:numPr>
          <w:ilvl w:val="0"/>
          <w:numId w:val="1"/>
        </w:numPr>
        <w:spacing w:after="100"/>
      </w:pPr>
      <w:r>
        <w:t xml:space="preserve">142 Jest unit tests across all 16 Lightning Web Component bundles (12 user-facing components plus 4 shared, non-visual utility modules) — all passing.</w:t>
      </w:r>
    </w:p>
    <w:p>
      <w:pPr>
        <w:pStyle w:val="ListParagraph"/>
        <w:numPr>
          <w:ilvl w:val="0"/>
          <w:numId w:val="1"/>
        </w:numPr>
        <w:spacing w:after="100"/>
      </w:pPr>
      <w:r>
        <w:t xml:space="preserve">All metadata XML checked for well-formedness.</w:t>
      </w:r>
    </w:p>
    <w:p>
      <w:pPr>
        <w:pStyle w:val="Heading3"/>
        <w:spacing w:after="100" w:before="220"/>
      </w:pPr>
      <w:r>
        <w:t xml:space="preserve">Verified against a real connected Salesforce org</w:t>
      </w:r>
    </w:p>
    <w:p>
      <w:pPr>
        <w:spacing w:after="160"/>
      </w:pPr>
      <w:r>
        <w:t xml:space="preserve">Apex tests were run against a real, connected org for the first time during this build (sf apex run test). That run surfaced three genuine issues — none caused by application logic itself, all now fixed:</w:t>
      </w:r>
    </w:p>
    <w:p>
      <w:pPr>
        <w:spacing w:after="160"/>
      </w:pPr>
      <w:r>
        <w:rPr>
          <w:b/>
          <w:bCs/>
        </w:rPr>
        <w:t xml:space="preserve">1. </w:t>
      </w:r>
      <w:r>
        <w:t xml:space="preserve">Test fixture gap — the shared TestDataFactory created test portal users but never assigned them the Alliance_Client_Portal_User permission set, so nearly every test exercising portal-user behaviour failed on missing field/object access that a real, correctly-configured portal user would actually have. Fixed by assigning the permission set as part of creating the test user.</w:t>
      </w:r>
    </w:p>
    <w:p>
      <w:pPr>
        <w:spacing w:after="160"/>
      </w:pPr>
      <w:r>
        <w:rPr>
          <w:b/>
          <w:bCs/>
        </w:rPr>
        <w:t xml:space="preserve">2. </w:t>
      </w:r>
      <w:r>
        <w:t xml:space="preserve">MIXED_DML_OPERATION — the first fix for #1 (inserting a PermissionSetAssignment) collided with the Account/Contact/Facility test data already inserted earlier in the same test, since Salesforce doesn’t allow mixing "setup object" DML with regular-object DML in one transaction. Fixed with the standard System.runAs(new User(Id = UserInfo.getUserId())) workaround for exactly this pattern.</w:t>
      </w:r>
    </w:p>
    <w:p>
      <w:pPr>
        <w:spacing w:after="160"/>
      </w:pPr>
      <w:r>
        <w:rPr>
          <w:b/>
          <w:bCs/>
        </w:rPr>
        <w:t xml:space="preserve">3. </w:t>
      </w:r>
      <w:r>
        <w:t xml:space="preserve">A genuine sharing gap (see Section 5, item 8 for the full explanation) — confirmed both in this Apex test run and independently on the live site by a real portal user with the correct permission set already assigned. Fixed by validating record ownership explicitly before the write, then performing that write through a narrow without-sharing utility rather than depending on the Sharing Set for it.</w:t>
      </w:r>
    </w:p>
    <w:p>
      <w:pPr>
        <w:spacing w:after="160"/>
      </w:pPr>
      <w:r>
        <w:t xml:space="preserve">With those three fixed, recommend one more full run (sf apex run test --test-level RunLocalTests) as a clean baseline, since a codebase cleanup pass and the Role-list/date-formatting/default-sort changes in this update landed after the run that found the above.</w:t>
      </w:r>
    </w:p>
    <w:p>
      <w:pPr>
        <w:pStyle w:val="Heading3"/>
        <w:spacing w:after="100" w:before="220"/>
      </w:pPr>
      <w:r>
        <w:t xml:space="preserve">Requires a connected Salesforce org (remaining)</w:t>
      </w:r>
    </w:p>
    <w:p>
      <w:pPr>
        <w:pStyle w:val="ListParagraph"/>
        <w:numPr>
          <w:ilvl w:val="0"/>
          <w:numId w:val="1"/>
        </w:numPr>
        <w:spacing w:after="100"/>
      </w:pPr>
      <w:r>
        <w:t xml:space="preserve">Metadata deploy validation against the target org (sf project deploy validate).</w:t>
      </w:r>
    </w:p>
    <w:p>
      <w:pPr>
        <w:pStyle w:val="ListParagraph"/>
        <w:numPr>
          <w:ilvl w:val="0"/>
          <w:numId w:val="1"/>
        </w:numPr>
        <w:spacing w:after="100"/>
      </w:pPr>
      <w:r>
        <w:t xml:space="preserve">Visual QA of the actual Experience Builder pages once composed.</w:t>
      </w:r>
    </w:p>
    <w:p>
      <w:pPr>
        <w:pStyle w:val="Heading1"/>
        <w:spacing w:after="160" w:before="360"/>
      </w:pPr>
      <w:r>
        <w:t xml:space="preserve">10. Scope</w:t>
      </w:r>
    </w:p>
    <w:p>
      <w:pPr>
        <w:pStyle w:val="Heading3"/>
        <w:spacing w:after="100" w:before="220"/>
      </w:pPr>
      <w:r>
        <w:t xml:space="preserve">In scope for this build</w:t>
      </w:r>
    </w:p>
    <w:p>
      <w:pPr>
        <w:pStyle w:val="ListParagraph"/>
        <w:numPr>
          <w:ilvl w:val="0"/>
          <w:numId w:val="1"/>
        </w:numPr>
        <w:spacing w:after="100"/>
      </w:pPr>
      <w:r>
        <w:t xml:space="preserve">Client login/access model for external staffing clients.</w:t>
      </w:r>
    </w:p>
    <w:p>
      <w:pPr>
        <w:pStyle w:val="ListParagraph"/>
        <w:numPr>
          <w:ilvl w:val="0"/>
          <w:numId w:val="1"/>
        </w:numPr>
        <w:spacing w:after="100"/>
      </w:pPr>
      <w:r>
        <w:t xml:space="preserve">Submit a single shift/staff request (including from the Calendar entry point).</w:t>
      </w:r>
    </w:p>
    <w:p>
      <w:pPr>
        <w:pStyle w:val="ListParagraph"/>
        <w:numPr>
          <w:ilvl w:val="0"/>
          <w:numId w:val="1"/>
        </w:numPr>
        <w:spacing w:after="100"/>
      </w:pPr>
      <w:r>
        <w:t xml:space="preserve">View request status and broadcast/fill visibility, including who’s assigned once filled.</w:t>
      </w:r>
    </w:p>
    <w:p>
      <w:pPr>
        <w:pStyle w:val="ListParagraph"/>
        <w:numPr>
          <w:ilvl w:val="0"/>
          <w:numId w:val="1"/>
        </w:numPr>
        <w:spacing w:after="100"/>
      </w:pPr>
      <w:r>
        <w:t xml:space="preserve">Request cancellation directly from a specific request.</w:t>
      </w:r>
    </w:p>
    <w:p>
      <w:pPr>
        <w:pStyle w:val="ListParagraph"/>
        <w:numPr>
          <w:ilvl w:val="0"/>
          <w:numId w:val="1"/>
        </w:numPr>
        <w:spacing w:after="100"/>
      </w:pPr>
      <w:r>
        <w:t xml:space="preserve">Date-range reporting and CSV export over request history.</w:t>
      </w:r>
    </w:p>
    <w:p>
      <w:pPr>
        <w:pStyle w:val="ListParagraph"/>
        <w:numPr>
          <w:ilvl w:val="0"/>
          <w:numId w:val="1"/>
        </w:numPr>
        <w:spacing w:after="100"/>
      </w:pPr>
      <w:r>
        <w:t xml:space="preserve">Read-only invoice viewing and PDF download.</w:t>
      </w:r>
    </w:p>
    <w:p>
      <w:pPr>
        <w:pStyle w:val="ListParagraph"/>
        <w:numPr>
          <w:ilvl w:val="0"/>
          <w:numId w:val="1"/>
        </w:numPr>
        <w:spacing w:after="100"/>
      </w:pPr>
      <w:r>
        <w:t xml:space="preserve">Support/general query submission.</w:t>
      </w:r>
    </w:p>
    <w:p>
      <w:pPr>
        <w:pStyle w:val="Heading3"/>
        <w:spacing w:after="100" w:before="220"/>
      </w:pPr>
      <w:r>
        <w:t xml:space="preserve">Out of scope for this phase</w:t>
      </w:r>
    </w:p>
    <w:p>
      <w:pPr>
        <w:pStyle w:val="ListParagraph"/>
        <w:numPr>
          <w:ilvl w:val="0"/>
          <w:numId w:val="1"/>
        </w:numPr>
        <w:spacing w:after="100"/>
      </w:pPr>
      <w:r>
        <w:t xml:space="preserve">Full VMS (vendor management system) replacement.</w:t>
      </w:r>
    </w:p>
    <w:p>
      <w:pPr>
        <w:pStyle w:val="ListParagraph"/>
        <w:numPr>
          <w:ilvl w:val="0"/>
          <w:numId w:val="1"/>
        </w:numPr>
        <w:spacing w:after="100"/>
      </w:pPr>
      <w:r>
        <w:t xml:space="preserve">Full roster/shift planning.</w:t>
      </w:r>
    </w:p>
    <w:p>
      <w:pPr>
        <w:pStyle w:val="ListParagraph"/>
        <w:numPr>
          <w:ilvl w:val="0"/>
          <w:numId w:val="1"/>
        </w:numPr>
        <w:spacing w:after="100"/>
      </w:pPr>
      <w:r>
        <w:t xml:space="preserve">Client-side worker selection.</w:t>
      </w:r>
    </w:p>
    <w:p>
      <w:pPr>
        <w:pStyle w:val="ListParagraph"/>
        <w:numPr>
          <w:ilvl w:val="0"/>
          <w:numId w:val="1"/>
        </w:numPr>
        <w:spacing w:after="100"/>
      </w:pPr>
      <w:r>
        <w:t xml:space="preserve">Payment gateway integration.</w:t>
      </w:r>
    </w:p>
    <w:p>
      <w:pPr>
        <w:pStyle w:val="ListParagraph"/>
        <w:numPr>
          <w:ilvl w:val="0"/>
          <w:numId w:val="1"/>
        </w:numPr>
        <w:spacing w:after="100"/>
      </w:pPr>
      <w:r>
        <w:t xml:space="preserve">Advanced compliance dashboards.</w:t>
      </w:r>
    </w:p>
    <w:p>
      <w:pPr>
        <w:pStyle w:val="ListParagraph"/>
        <w:numPr>
          <w:ilvl w:val="0"/>
          <w:numId w:val="1"/>
        </w:numPr>
        <w:spacing w:after="100"/>
      </w:pPr>
      <w:r>
        <w:t xml:space="preserve">A dedicated native mobile app (the portal is responsive web only).</w:t>
      </w:r>
    </w:p>
    <w:p>
      <w:pPr>
        <w:pStyle w:val="ListParagraph"/>
        <w:numPr>
          <w:ilvl w:val="0"/>
          <w:numId w:val="1"/>
        </w:numPr>
        <w:spacing w:after="100"/>
      </w:pPr>
      <w:r>
        <w:t xml:space="preserve">Timesheet approval — included in the original concept but removed from this build at the client’s request. Re-adding it later would mean rebuilding that object, its Apex, and its two Lightning Web Components from scratch.</w:t>
      </w:r>
    </w:p>
    <w:p>
      <w:pPr>
        <w:pStyle w:val="Heading1"/>
        <w:spacing w:after="160" w:before="360"/>
      </w:pPr>
      <w:r>
        <w:t xml:space="preserve">11. Discussion checklist for your Salesforce administrator</w:t>
      </w:r>
    </w:p>
    <w:p>
      <w:pPr>
        <w:pStyle w:val="ListParagraph"/>
        <w:numPr>
          <w:ilvl w:val="0"/>
          <w:numId w:val="1"/>
        </w:numPr>
        <w:spacing w:after="100"/>
      </w:pPr>
      <w:r>
        <w:t xml:space="preserve">Does Bullhorn already model job/demand/shift data in Salesforce? Does 2Cloud9 already sync invoices in?</w:t>
      </w:r>
    </w:p>
    <w:p>
      <w:pPr>
        <w:pStyle w:val="ListParagraph"/>
        <w:numPr>
          <w:ilvl w:val="0"/>
          <w:numId w:val="1"/>
        </w:numPr>
        <w:spacing w:after="100"/>
      </w:pPr>
      <w:r>
        <w:t xml:space="preserve">If yes to either: sync-to-existing-objects, or rebuild against them directly?</w:t>
      </w:r>
    </w:p>
    <w:p>
      <w:pPr>
        <w:pStyle w:val="ListParagraph"/>
        <w:numPr>
          <w:ilvl w:val="0"/>
          <w:numId w:val="1"/>
        </w:numPr>
        <w:spacing w:after="100"/>
      </w:pPr>
      <w:r>
        <w:t xml:space="preserve">Any API name collisions with the Bullhorn/2Cloud9 managed packages?</w:t>
      </w:r>
    </w:p>
    <w:p>
      <w:pPr>
        <w:pStyle w:val="ListParagraph"/>
        <w:numPr>
          <w:ilvl w:val="0"/>
          <w:numId w:val="1"/>
        </w:numPr>
        <w:spacing w:after="100"/>
      </w:pPr>
      <w:r>
        <w:t xml:space="preserve">What are Bullhorn’s and 2Cloud9’s real external ID formats?</w:t>
      </w:r>
    </w:p>
    <w:p>
      <w:pPr>
        <w:pStyle w:val="ListParagraph"/>
        <w:numPr>
          <w:ilvl w:val="0"/>
          <w:numId w:val="1"/>
        </w:numPr>
        <w:spacing w:after="100"/>
      </w:pPr>
      <w:r>
        <w:t xml:space="preserve">Does either product already own an Experience Cloud site/license setup we need to fit into?</w:t>
      </w:r>
    </w:p>
    <w:p>
      <w:pPr>
        <w:pStyle w:val="ListParagraph"/>
        <w:numPr>
          <w:ilvl w:val="0"/>
          <w:numId w:val="1"/>
        </w:numPr>
        <w:spacing w:after="100"/>
      </w:pPr>
      <w:r>
        <w:t xml:space="preserve">Does the org’s existing sharing model conflict with this build’s Sharing Set?</w:t>
      </w:r>
    </w:p>
    <w:p>
      <w:pPr>
        <w:pStyle w:val="ListParagraph"/>
        <w:numPr>
          <w:ilvl w:val="0"/>
          <w:numId w:val="1"/>
        </w:numPr>
        <w:spacing w:after="100"/>
      </w:pPr>
      <w:r>
        <w:t xml:space="preserve">Does the eventual data model introduce any Master-Detail chains as deep as (or deeper than) Staffing_Request__c’s under Account — and if so, has the same Sharing Set cascade limitation from Section 5, item 8 been checked for and, if present, addressed the same way (or better)?</w:t>
      </w:r>
    </w:p>
    <w:p>
      <w:pPr>
        <w:pStyle w:val="ListParagraph"/>
        <w:numPr>
          <w:ilvl w:val="0"/>
          <w:numId w:val="1"/>
        </w:numPr>
        <w:spacing w:after="100"/>
      </w:pPr>
      <w:r>
        <w:t xml:space="preserve">Is there scheduled-job capacity for one more daily job?</w:t>
      </w:r>
    </w:p>
    <w:p>
      <w:pPr>
        <w:pStyle w:val="ListParagraph"/>
        <w:numPr>
          <w:ilvl w:val="0"/>
          <w:numId w:val="1"/>
        </w:numPr>
        <w:spacing w:after="100"/>
      </w:pPr>
      <w:r>
        <w:t xml:space="preserve">Target org and sandbox/production deployment path and timeline?</w:t>
      </w:r>
    </w:p>
    <w:p>
      <w:pPr>
        <w:pStyle w:val="ListParagraph"/>
        <w:numPr>
          <w:ilvl w:val="0"/>
          <w:numId w:val="1"/>
        </w:numPr>
        <w:spacing w:after="100"/>
      </w:pPr>
      <w:r>
        <w:t xml:space="preserve">Does our current Salesforce edition support Digital Experiences, or is an edition upgrade needed?</w:t>
      </w:r>
    </w:p>
    <w:p>
      <w:pPr>
        <w:pStyle w:val="ListParagraph"/>
        <w:numPr>
          <w:ilvl w:val="0"/>
          <w:numId w:val="1"/>
        </w:numPr>
        <w:spacing w:after="100"/>
      </w:pPr>
      <w:r>
        <w:t xml:space="preserve">How many external (client contact) users need portal access, and how often will each use it — for sizing per-login vs per-member licensing?</w:t>
      </w:r>
    </w:p>
    <w:p>
      <w:pPr>
        <w:pStyle w:val="ListParagraph"/>
        <w:numPr>
          <w:ilvl w:val="0"/>
          <w:numId w:val="1"/>
        </w:numPr>
        <w:spacing w:after="100"/>
      </w:pPr>
      <w:r>
        <w:t xml:space="preserve">Does our current contract already include any bundled Experience Cloud login/member allocation?</w:t>
      </w:r>
    </w:p>
    <w:p>
      <w:pPr>
        <w:pStyle w:val="ListParagraph"/>
        <w:numPr>
          <w:ilvl w:val="0"/>
          <w:numId w:val="1"/>
        </w:numPr>
        <w:spacing w:after="100"/>
      </w:pPr>
      <w:r>
        <w:t xml:space="preserve">Do Bullhorn’s and 2Cloud9’s own license agreements already cover external/portal user access to their data, or is that a separate add-on with either vendor?</w:t>
      </w:r>
    </w:p>
    <w:p>
      <w:r>
        <w:br w:type="page"/>
      </w:r>
    </w:p>
    <w:p>
      <w:pPr>
        <w:pStyle w:val="Heading1"/>
        <w:spacing w:after="160" w:before="360"/>
      </w:pPr>
      <w:r>
        <w:t xml:space="preserve">12. Why Build Your Own (LWR), Not a Prebuilt Template</w:t>
      </w:r>
    </w:p>
    <w:p>
      <w:pPr>
        <w:spacing w:after="160"/>
      </w:pPr>
      <w:r>
        <w:t xml:space="preserve">Worth recording here since it directly affects Section 6’s licensing conversation and Section 8’s manual setup steps: this portal was built on Salesforce’s "Build Your Own (LWR)" Experience Cloud template, not one of the other prebuilt options. Salesforce’s other templates are each opinionated around a specific standard object family, and none of them fit this project’s data model:</w:t>
      </w:r>
    </w:p>
    <w:p>
      <w:pPr>
        <w:pStyle w:val="ListParagraph"/>
        <w:numPr>
          <w:ilvl w:val="0"/>
          <w:numId w:val="1"/>
        </w:numPr>
        <w:spacing w:after="100"/>
      </w:pPr>
      <w:r>
        <w:t xml:space="preserve">Customer Account Portal — tightly coupled to the standard B2B commerce/order data model. It ships prebuilt pages for Order History, Contracts, Entitlements, and standard Account/Case management, and assumes the portal is exposing Order/OrderItem/Contract/Entitlement, etc. This project has none of those objects at all — the whole workflow (submit a staffing request, track fulfilment status, view invoices) runs on the bespoke Facility__c/Staffing_Request__c/Invoice__c model in Section 3.1 instead.</w:t>
      </w:r>
    </w:p>
    <w:p>
      <w:pPr>
        <w:pStyle w:val="ListParagraph"/>
        <w:numPr>
          <w:ilvl w:val="0"/>
          <w:numId w:val="1"/>
        </w:numPr>
        <w:spacing w:after="100"/>
      </w:pPr>
      <w:r>
        <w:t xml:space="preserve">Partner Central — built for reseller/partner relationship management (deal registration, leads, opportunities, partner funds). Nothing in this portal is partner-facing.</w:t>
      </w:r>
    </w:p>
    <w:p>
      <w:pPr>
        <w:pStyle w:val="ListParagraph"/>
        <w:numPr>
          <w:ilvl w:val="0"/>
          <w:numId w:val="1"/>
        </w:numPr>
        <w:spacing w:after="100"/>
      </w:pPr>
      <w:r>
        <w:t xml:space="preserve">Customer Service / Help Center — built around Case + Knowledge self-service. The closest tangential match, since Support/Query does reuse the standard Case object (Section 3.1) — but that is 1 of 7 screens. The other six are all driven by the custom objects this template has no prebuilt furniture for either.</w:t>
      </w:r>
    </w:p>
    <w:p>
      <w:pPr>
        <w:spacing w:after="160"/>
      </w:pPr>
      <w:r>
        <w:t xml:space="preserve">None of Customer Account Portal’s, Partner Central’s, or Customer Service’s out-of-box components would apply here — building on any of them would mean paying for prebuilt furniture (Order/Entitlement/Opportunity pages, and potentially B2B Commerce licensing overhead beyond what Section 6 already covers) and then overriding or removing nearly all of it anyway. Build Your Own (LWR) is the blank-canvas template: no prebuilt object assumptions, full control over every page and component, and Salesforce’s newer Lightning Web Runtime (faster page loads and better Core Web Vitals than the older Aura-based templates the other options have traditionally used). Since every screen here is a custom Lightning Web Component built from scratch against custom objects, this was the template that did not fight the actual data model.</w:t>
      </w:r>
    </w:p>
    <w:p>
      <w:pPr>
        <w:spacing w:after="160"/>
      </w:pPr>
      <w:r>
        <w:t xml:space="preserve">Revisited after finishing the build, not just at the start: the same conclusion holds. The Calendar and Reporting screens (Section 4) were added beyond the original 6-screen scope with zero template friction, and the deep-linking between Home tiles/Calendar/My Requests/Invoices, the custom per-row cancellation action, and the new mobile card layout (Section 3.3) all required full control over markup and navigation that a prebuilt template would have made harder to achieve, not easier. A template-based starting point would likely have meant removing more prebuilt structure than it saved — worth keeping in mind if a future phase is ever tempted to reconsider the template choice once Bullhorn/2Cloud9 integration work begins.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2026-07-29T23:03:55.747Z</dcterms:created>
  <dcterms:modified xsi:type="dcterms:W3CDTF">2026-07-29T23:03:55.764Z</dcterms:modified>
</cp:coreProperties>
</file>

<file path=docProps/custom.xml><?xml version="1.0" encoding="utf-8"?>
<Properties xmlns="http://schemas.openxmlformats.org/officeDocument/2006/custom-properties" xmlns:vt="http://schemas.openxmlformats.org/officeDocument/2006/docPropsVTypes"/>
</file>