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5E20"/>
          <w:sz w:val="44"/>
          <w:szCs w:val="44"/>
        </w:rPr>
        <w:t xml:space="preserve">Business NSW — AI Foundry Agent Service Pilot</w:t>
      </w:r>
    </w:p>
    <w:p>
      <w:pPr>
        <w:spacing w:after="60"/>
      </w:pPr>
      <w:r>
        <w:rPr>
          <w:color w:val="5A5A5A"/>
          <w:sz w:val="30"/>
          <w:szCs w:val="30"/>
        </w:rPr>
        <w:t xml:space="preserve">Stage 1 Deployment Runbook</w:t>
      </w:r>
    </w:p>
    <w:p>
      <w:pPr>
        <w:spacing w:after="40"/>
      </w:pPr>
      <w:r>
        <w:rPr>
          <w:i/>
          <w:iCs/>
          <w:color w:val="5A5A5A"/>
        </w:rPr>
        <w:t xml:space="preserve">Prepared for: Regional Directors program · Policy &amp; Advocacy</w:t>
      </w:r>
    </w:p>
    <w:p>
      <w:pPr>
        <w:spacing w:after="400"/>
      </w:pPr>
      <w:r>
        <w:rPr>
          <w:i/>
          <w:iCs/>
          <w:color w:val="5A5A5A"/>
        </w:rPr>
        <w:t xml:space="preserve">Audience: Azure / M365 tenant administrators with access to provision resources</w:t>
      </w:r>
    </w:p>
    <w:p>
      <w:pPr>
        <w:pStyle w:val="Heading1"/>
      </w:pPr>
      <w:r>
        <w:t xml:space="preserve">1. Purpose</w:t>
      </w:r>
    </w:p>
    <w:p>
      <w:pPr>
        <w:spacing w:after="120"/>
      </w:pPr>
      <w:r>
        <w:t xml:space="preserve">This runbook is a step-by-step operational guide for standing up the Stage 1 pilot of the Business NSW Policy &amp; Advocacy assistant, built on Azure AI Foundry Agent Service. It is written for whoever holds Azure subscription and Microsoft 365 tenant admin access — it assumes no prior Foundry experience but does assume Global/Application Administrator or equivalent delegated rights in Entra ID, and Owner/Contributor rights on the target Azure subscription.</w:t>
      </w:r>
    </w:p>
    <w:p>
      <w:pPr>
        <w:spacing w:after="120"/>
      </w:pPr>
      <w:r>
        <w:t xml:space="preserve">It operationalises the architecture recommendation captured in “AI Recommended Solution” (Copilot analysis, comparing the original Velrada-style proposal against a simpler Foundry-native build). The pilot deliberately excludes Azure Container Apps, Dataverse, Synapse, a custom front-end, and data-lake duplication — it is scoped to validate the core value proposition (grounded, cited answers to policy and regional questions) with the smallest footprint that can prove it.</w:t>
      </w:r>
    </w:p>
    <w:p>
      <w:pPr>
        <w:pStyle w:val="Heading1"/>
      </w:pPr>
      <w:r>
        <w:t xml:space="preserve">2. Target Architecture (Stage 1)</w:t>
      </w:r>
    </w:p>
    <w:p>
      <w:pPr>
        <w:spacing w:after="120"/>
      </w:pPr>
      <w:r>
        <w:t xml:space="preserve">The pilot has four moving parts, in this order:</w:t>
      </w:r>
    </w:p>
    <w:p>
      <w:pPr>
        <w:pStyle w:val="ListParagraph"/>
        <w:numPr>
          <w:ilvl w:val="0"/>
          <w:numId w:val="2"/>
        </w:numPr>
        <w:spacing w:after="60"/>
      </w:pPr>
      <w:r>
        <w:t xml:space="preserve">SharePoint — source of truth. No content is duplicated or migrated; existing libraries are indexed in place.</w:t>
      </w:r>
    </w:p>
    <w:p>
      <w:pPr>
        <w:pStyle w:val="ListParagraph"/>
        <w:numPr>
          <w:ilvl w:val="0"/>
          <w:numId w:val="2"/>
        </w:numPr>
        <w:spacing w:after="60"/>
      </w:pPr>
      <w:r>
        <w:t xml:space="preserve">Azure AI Search — retrieval layer. Crawls and indexes the approved SharePoint libraries.</w:t>
      </w:r>
    </w:p>
    <w:p>
      <w:pPr>
        <w:pStyle w:val="ListParagraph"/>
        <w:numPr>
          <w:ilvl w:val="0"/>
          <w:numId w:val="2"/>
        </w:numPr>
        <w:spacing w:after="60"/>
      </w:pPr>
      <w:r>
        <w:t xml:space="preserve">Azure AI Foundry Agent Service — orchestration layer. Hosts three purpose-built agents that call the Search index and apply business-rule instructions.</w:t>
      </w:r>
    </w:p>
    <w:p>
      <w:pPr>
        <w:pStyle w:val="ListParagraph"/>
        <w:numPr>
          <w:ilvl w:val="0"/>
          <w:numId w:val="2"/>
        </w:numPr>
        <w:spacing w:after="60"/>
      </w:pPr>
      <w:r>
        <w:t xml:space="preserve">Teams / Microsoft 365 Copilot — surface layer. Regional Directors interact with the agents through a Teams app / Copilot extension, no new client to learn.</w:t>
      </w:r>
    </w:p>
    <w:p>
      <w:pPr>
        <w:pBdr>
          <w:left w:val="single" w:color="CFCFCF" w:sz="12" w:space="8"/>
        </w:pBdr>
        <w:spacing w:after="160" w:before="80"/>
        <w:ind w:left="120"/>
      </w:pPr>
      <w:r>
        <w:rPr>
          <w:b/>
          <w:bCs/>
          <w:color w:val="5A5A5A"/>
        </w:rPr>
        <w:t xml:space="preserve">Note: </w:t>
      </w:r>
      <w:r>
        <w:rPr>
          <w:i/>
          <w:iCs/>
          <w:color w:val="5A5A5A"/>
        </w:rPr>
        <w:t xml:space="preserve">Nothing here duplicates data outside SharePoint. If a later requirement needs it, Dataverse/Synapse/a custom frontend can be layered on in Stage 2 or 3 without re-architecting Stage 1.</w:t>
      </w:r>
    </w:p>
    <w:p>
      <w:pPr>
        <w:pStyle w:val="Heading1"/>
      </w:pPr>
      <w:r>
        <w:t xml:space="preserve">3. Governance &amp; Access Prerequisites</w:t>
      </w:r>
    </w:p>
    <w:p>
      <w:pPr>
        <w:spacing w:after="120"/>
      </w:pPr>
      <w:r>
        <w:t xml:space="preserve">Complete these before touching Azure AI Foundry — they gate everything downstream.</w:t>
      </w:r>
    </w:p>
    <w:p>
      <w:pPr>
        <w:pStyle w:val="Heading2"/>
      </w:pPr>
      <w:r>
        <w:t xml:space="preserve">3.1 Entra ID</w:t>
      </w:r>
    </w:p>
    <w:p>
      <w:pPr>
        <w:pStyle w:val="ListParagraph"/>
        <w:numPr>
          <w:ilvl w:val="0"/>
          <w:numId w:val="3"/>
        </w:numPr>
        <w:spacing w:after="60"/>
      </w:pPr>
      <w:r>
        <w:t xml:space="preserve">Create a security group for pilot users, e.g. sg-ai-pilot-regional-directors, and add the 10–15 nominated power users.</w:t>
      </w:r>
    </w:p>
    <w:p>
      <w:pPr>
        <w:pStyle w:val="ListParagraph"/>
        <w:numPr>
          <w:ilvl w:val="0"/>
          <w:numId w:val="3"/>
        </w:numPr>
        <w:spacing w:after="60"/>
      </w:pPr>
      <w:r>
        <w:t xml:space="preserve">Create a service principal / managed identity for the Foundry project (e.g. mi-ai-foundry-pilot) that will be granted read access to the SharePoint sites and to the Azure AI Search service.</w:t>
      </w:r>
    </w:p>
    <w:p>
      <w:pPr>
        <w:pStyle w:val="ListParagraph"/>
        <w:numPr>
          <w:ilvl w:val="0"/>
          <w:numId w:val="3"/>
        </w:numPr>
        <w:spacing w:after="60"/>
      </w:pPr>
      <w:r>
        <w:t xml:space="preserve">Confirm Conditional Access policies won't block the Teams app or the managed identity's Graph calls.</w:t>
      </w:r>
    </w:p>
    <w:p>
      <w:pPr>
        <w:pStyle w:val="Heading2"/>
      </w:pPr>
      <w:r>
        <w:t xml:space="preserve">3.2 SharePoint</w:t>
      </w:r>
    </w:p>
    <w:p>
      <w:pPr>
        <w:pStyle w:val="ListParagraph"/>
        <w:numPr>
          <w:ilvl w:val="0"/>
          <w:numId w:val="3"/>
        </w:numPr>
        <w:spacing w:after="60"/>
      </w:pPr>
      <w:r>
        <w:t xml:space="preserve">Confirm which sites/libraries are in scope for Phase 1 (internal only): P&amp;A folders, Regional folders, State of Play, Media releases, BCS reports, Advocacy submissions.</w:t>
      </w:r>
    </w:p>
    <w:p>
      <w:pPr>
        <w:pStyle w:val="ListParagraph"/>
        <w:numPr>
          <w:ilvl w:val="0"/>
          <w:numId w:val="3"/>
        </w:numPr>
        <w:spacing w:after="60"/>
      </w:pPr>
      <w:r>
        <w:t xml:space="preserve">Grant the Foundry managed identity (or the AI Search indexer's identity) Read access to those sites — do not grant tenant-wide SharePoint access.</w:t>
      </w:r>
    </w:p>
    <w:p>
      <w:pPr>
        <w:pStyle w:val="ListParagraph"/>
        <w:numPr>
          <w:ilvl w:val="0"/>
          <w:numId w:val="3"/>
        </w:numPr>
        <w:spacing w:after="60"/>
      </w:pPr>
      <w:r>
        <w:t xml:space="preserve">Agree and document a content boundary: what regional/board material is explicitly out of scope for the pilot index.</w:t>
      </w:r>
    </w:p>
    <w:p>
      <w:pPr>
        <w:pStyle w:val="Heading2"/>
      </w:pPr>
      <w:r>
        <w:t xml:space="preserve">3.3 Licensing</w:t>
      </w:r>
    </w:p>
    <w:p>
      <w:pPr>
        <w:pStyle w:val="ListParagraph"/>
        <w:numPr>
          <w:ilvl w:val="0"/>
          <w:numId w:val="3"/>
        </w:numPr>
        <w:spacing w:after="60"/>
      </w:pPr>
      <w:r>
        <w:t xml:space="preserve">Confirm Microsoft 365 Copilot or Teams licensing for the pilot user group (required for the Teams/Copilot surface).</w:t>
      </w:r>
    </w:p>
    <w:p>
      <w:pPr>
        <w:pStyle w:val="ListParagraph"/>
        <w:numPr>
          <w:ilvl w:val="0"/>
          <w:numId w:val="3"/>
        </w:numPr>
        <w:spacing w:after="60"/>
      </w:pPr>
      <w:r>
        <w:t xml:space="preserve">Confirm an Azure subscription with quota for Azure AI Search and Azure AI Foundry in the target region (Australia East recommended for data residency).</w:t>
      </w:r>
    </w:p>
    <w:p>
      <w:pPr>
        <w:pStyle w:val="Heading1"/>
      </w:pPr>
      <w:r>
        <w:t xml:space="preserve">4. Step-by-Step Build</w:t>
      </w:r>
    </w:p>
    <w:p>
      <w:pPr>
        <w:pStyle w:val="Heading2"/>
      </w:pPr>
      <w:r>
        <w:t xml:space="preserve">4.1 Provision Azure AI Search</w:t>
      </w:r>
    </w:p>
    <w:p>
      <w:pPr>
        <w:pStyle w:val="ListParagraph"/>
        <w:numPr>
          <w:ilvl w:val="0"/>
          <w:numId w:val="2"/>
        </w:numPr>
        <w:spacing w:after="60"/>
      </w:pPr>
      <w:r>
        <w:t xml:space="preserve">In the Azure Portal, create a new Azure AI Search service in the Business NSW subscription, region Australia East, tier Basic or Standard S1 (Standard recommended once indexing SharePoint content with vector search enabled).</w:t>
      </w:r>
    </w:p>
    <w:p>
      <w:pPr>
        <w:pStyle w:val="ListParagraph"/>
        <w:numPr>
          <w:ilvl w:val="0"/>
          <w:numId w:val="2"/>
        </w:numPr>
        <w:spacing w:after="60"/>
      </w:pPr>
      <w:r>
        <w:t xml:space="preserve">Enable semantic ranking on the service (Free tier included quota is enough for pilot volumes).</w:t>
      </w:r>
    </w:p>
    <w:p>
      <w:pPr>
        <w:pStyle w:val="ListParagraph"/>
        <w:numPr>
          <w:ilvl w:val="0"/>
          <w:numId w:val="2"/>
        </w:numPr>
        <w:spacing w:after="60"/>
      </w:pPr>
      <w:r>
        <w:t xml:space="preserve">Under Import and vectorize data, choose SharePoint as the data source (or configure a SharePoint Online indexer via the REST API/SDK if the wizard doesn't yet support your tenant configuration).</w:t>
      </w:r>
    </w:p>
    <w:p>
      <w:pPr>
        <w:pStyle w:val="ListParagraph"/>
        <w:numPr>
          <w:ilvl w:val="0"/>
          <w:numId w:val="2"/>
        </w:numPr>
        <w:spacing w:after="60"/>
      </w:pPr>
      <w:r>
        <w:t xml:space="preserve">Authenticate using the managed identity created in 3.1, scoped to the SharePoint sites agreed in 3.2.</w:t>
      </w:r>
    </w:p>
    <w:p>
      <w:pPr>
        <w:pStyle w:val="ListParagraph"/>
        <w:numPr>
          <w:ilvl w:val="0"/>
          <w:numId w:val="2"/>
        </w:numPr>
        <w:spacing w:after="60"/>
      </w:pPr>
      <w:r>
        <w:t xml:space="preserve">Select an embedding model (Azure OpenAI text-embedding-3-large or -small) to enable hybrid (keyword + vector) search — this materially improves answer grounding quality over keyword-only search.</w:t>
      </w:r>
    </w:p>
    <w:p>
      <w:pPr>
        <w:pStyle w:val="ListParagraph"/>
        <w:numPr>
          <w:ilvl w:val="0"/>
          <w:numId w:val="2"/>
        </w:numPr>
        <w:spacing w:after="60"/>
      </w:pPr>
      <w:r>
        <w:t xml:space="preserve">Run the indexer, confirm document counts match expectations for each library, and schedule it to re-run (e.g. every 4–6 hours) so new SharePoint content stays fresh.</w:t>
      </w:r>
    </w:p>
    <w:p>
      <w:pPr>
        <w:pStyle w:val="ListParagraph"/>
        <w:numPr>
          <w:ilvl w:val="0"/>
          <w:numId w:val="2"/>
        </w:numPr>
        <w:spacing w:after="60"/>
      </w:pPr>
      <w:r>
        <w:t xml:space="preserve">Spot-check the index: run a handful of test queries in the Azure Portal ‘Search explorer’ and confirm the top results are relevant and citations map to the correct source documents.</w:t>
      </w:r>
    </w:p>
    <w:p>
      <w:pPr>
        <w:pStyle w:val="Heading2"/>
      </w:pPr>
      <w:r>
        <w:t xml:space="preserve">4.2 Create the Azure AI Foundry Project</w:t>
      </w:r>
    </w:p>
    <w:p>
      <w:pPr>
        <w:pStyle w:val="ListParagraph"/>
        <w:numPr>
          <w:ilvl w:val="0"/>
          <w:numId w:val="2"/>
        </w:numPr>
        <w:spacing w:after="60"/>
      </w:pPr>
      <w:r>
        <w:t xml:space="preserve">In Azure AI Foundry (ai.azure.com), create a new Foundry project inside the Business NSW subscription, same region as the Search service.</w:t>
      </w:r>
    </w:p>
    <w:p>
      <w:pPr>
        <w:pStyle w:val="ListParagraph"/>
        <w:numPr>
          <w:ilvl w:val="0"/>
          <w:numId w:val="2"/>
        </w:numPr>
        <w:spacing w:after="60"/>
      </w:pPr>
      <w:r>
        <w:t xml:space="preserve">Connect the Azure AI Search resource from 4.1 to the Foundry project as a connected resource/knowledge source.</w:t>
      </w:r>
    </w:p>
    <w:p>
      <w:pPr>
        <w:pStyle w:val="ListParagraph"/>
        <w:numPr>
          <w:ilvl w:val="0"/>
          <w:numId w:val="2"/>
        </w:numPr>
        <w:spacing w:after="60"/>
      </w:pPr>
      <w:r>
        <w:t xml:space="preserve">Deploy a chat-capable model for the agents (e.g. GPT-4o or GPT-4.1 class model) and a smaller/cheaper model for lightweight tasks if you want to split cost between search-heavy and generation-heavy agents later.</w:t>
      </w:r>
    </w:p>
    <w:p>
      <w:pPr>
        <w:pStyle w:val="ListParagraph"/>
        <w:numPr>
          <w:ilvl w:val="0"/>
          <w:numId w:val="2"/>
        </w:numPr>
        <w:spacing w:after="60"/>
      </w:pPr>
      <w:r>
        <w:t xml:space="preserve">Enable Agent Service in the project and confirm the managed identity/service principal has the necessary Cognitive Services and Search Index Data Reader roles.</w:t>
      </w:r>
    </w:p>
    <w:p>
      <w:pPr>
        <w:pStyle w:val="Heading2"/>
      </w:pPr>
      <w:r>
        <w:t xml:space="preserve">4.3 Build Agent 1 — Policy Knowledge Agent</w:t>
      </w:r>
    </w:p>
    <w:p>
      <w:pPr>
        <w:spacing w:after="120"/>
      </w:pPr>
      <w:r>
        <w:t xml:space="preserve">Purpose: policy positions, advocacy asks, media lines, historical positions.</w:t>
      </w:r>
    </w:p>
    <w:p>
      <w:pPr>
        <w:pStyle w:val="ListParagraph"/>
        <w:numPr>
          <w:ilvl w:val="0"/>
          <w:numId w:val="3"/>
        </w:numPr>
        <w:spacing w:after="60"/>
      </w:pPr>
      <w:r>
        <w:t xml:space="preserve">Knowledge source: Azure AI Search index scoped to State of Play, policy papers, media releases, advocacy documents.</w:t>
      </w:r>
    </w:p>
    <w:p>
      <w:pPr>
        <w:pStyle w:val="ListParagraph"/>
        <w:numPr>
          <w:ilvl w:val="0"/>
          <w:numId w:val="3"/>
        </w:numPr>
        <w:spacing w:after="60"/>
      </w:pPr>
      <w:r>
        <w:t xml:space="preserve">System instructions (paste into the agent's instructions field): “You are the Business NSW Policy Knowledge Agent. Answer questions about Business NSW's policy positions, advocacy asks, and historical statements using only the connected knowledge source. Always cite the source document and date. If the position has changed over time, say so and show both. If no matching content is found, say so explicitly — do not speculate.”</w:t>
      </w:r>
    </w:p>
    <w:p>
      <w:pPr>
        <w:pStyle w:val="ListParagraph"/>
        <w:numPr>
          <w:ilvl w:val="0"/>
          <w:numId w:val="3"/>
        </w:numPr>
        <w:spacing w:after="60"/>
      </w:pPr>
      <w:r>
        <w:t xml:space="preserve">Add example queries as test prompts: “What is our position on offshore wind?”, “What have we said previously about payroll tax?”, “What submissions mention housing supply?”</w:t>
      </w:r>
    </w:p>
    <w:p>
      <w:pPr>
        <w:pStyle w:val="ListParagraph"/>
        <w:numPr>
          <w:ilvl w:val="0"/>
          <w:numId w:val="3"/>
        </w:numPr>
        <w:spacing w:after="60"/>
      </w:pPr>
      <w:r>
        <w:t xml:space="preserve">Turn on citations/grounding so every response includes a source link back to the SharePoint document.</w:t>
      </w:r>
    </w:p>
    <w:p>
      <w:pPr>
        <w:pStyle w:val="Heading2"/>
      </w:pPr>
      <w:r>
        <w:t xml:space="preserve">4.4 Build Agent 2 — Regional Intelligence Agent</w:t>
      </w:r>
    </w:p>
    <w:p>
      <w:pPr>
        <w:spacing w:after="120"/>
      </w:pPr>
      <w:r>
        <w:t xml:space="preserve">Purpose: regional impacts, cross-region comparisons, regional activity tracking.</w:t>
      </w:r>
    </w:p>
    <w:p>
      <w:pPr>
        <w:pStyle w:val="ListParagraph"/>
        <w:numPr>
          <w:ilvl w:val="0"/>
          <w:numId w:val="3"/>
        </w:numPr>
        <w:spacing w:after="60"/>
      </w:pPr>
      <w:r>
        <w:t xml:space="preserve">Knowledge source: Azure AI Search index scoped to Regional folders and Survey Results.</w:t>
      </w:r>
    </w:p>
    <w:p>
      <w:pPr>
        <w:pStyle w:val="ListParagraph"/>
        <w:numPr>
          <w:ilvl w:val="0"/>
          <w:numId w:val="3"/>
        </w:numPr>
        <w:spacing w:after="60"/>
      </w:pPr>
      <w:r>
        <w:t xml:space="preserve">System instructions: “You are the Business NSW Regional Intelligence Agent. Answer questions comparing regions and summarising regional activity, using only the connected knowledge source. When comparing regions, structure the answer by region with citations for each claim. If a region has no relevant material, state that explicitly rather than omitting it silently.”</w:t>
      </w:r>
    </w:p>
    <w:p>
      <w:pPr>
        <w:pStyle w:val="ListParagraph"/>
        <w:numPr>
          <w:ilvl w:val="0"/>
          <w:numId w:val="3"/>
        </w:numPr>
        <w:spacing w:after="60"/>
      </w:pPr>
      <w:r>
        <w:t xml:space="preserve">Add example queries: “What are other regions doing about housing?”, “Which regions are most active on payroll tax?”</w:t>
      </w:r>
    </w:p>
    <w:p>
      <w:pPr>
        <w:pStyle w:val="Heading2"/>
      </w:pPr>
      <w:r>
        <w:t xml:space="preserve">4.5 Build Agent 3 — Briefing &amp; Content Agent</w:t>
      </w:r>
    </w:p>
    <w:p>
      <w:pPr>
        <w:spacing w:after="120"/>
      </w:pPr>
      <w:r>
        <w:t xml:space="preserve">Purpose: talking points, briefing notes, media statements, board papers — generation-heavy, kept separate from the two search-heavy agents to control cost.</w:t>
      </w:r>
    </w:p>
    <w:p>
      <w:pPr>
        <w:pStyle w:val="ListParagraph"/>
        <w:numPr>
          <w:ilvl w:val="0"/>
          <w:numId w:val="3"/>
        </w:numPr>
        <w:spacing w:after="60"/>
      </w:pPr>
      <w:r>
        <w:t xml:space="preserve">Knowledge source: can call Agent 1 and Agent 2 as tools (agent-to-agent orchestration in Foundry) rather than querying the raw index directly, so it always generates from already-grounded answers.</w:t>
      </w:r>
    </w:p>
    <w:p>
      <w:pPr>
        <w:pStyle w:val="ListParagraph"/>
        <w:numPr>
          <w:ilvl w:val="0"/>
          <w:numId w:val="3"/>
        </w:numPr>
        <w:spacing w:after="60"/>
      </w:pPr>
      <w:r>
        <w:t xml:space="preserve">System instructions: “You are the Business NSW Briefing &amp; Content Agent. Produce briefing notes, talking points, and short media-ready statements. Ground every factual claim by first calling the Policy Knowledge Agent and/or Regional Intelligence Agent — never invent a position or statistic. Keep outputs to the length and tone requested (e.g. a 2-minute interview briefing should be roughly 250–300 spoken words).”</w:t>
      </w:r>
    </w:p>
    <w:p>
      <w:pPr>
        <w:pStyle w:val="ListParagraph"/>
        <w:numPr>
          <w:ilvl w:val="0"/>
          <w:numId w:val="3"/>
        </w:numPr>
        <w:spacing w:after="60"/>
      </w:pPr>
      <w:r>
        <w:t xml:space="preserve">Test prompt: “Create a 2 minute media briefing for an interview in Illawarra relating to energy policy.”</w:t>
      </w:r>
    </w:p>
    <w:p>
      <w:pPr>
        <w:pStyle w:val="Heading2"/>
      </w:pPr>
      <w:r>
        <w:t xml:space="preserve">4.6 Configure Grounding, Citations &amp; Guardrails</w:t>
      </w:r>
    </w:p>
    <w:p>
      <w:pPr>
        <w:pStyle w:val="ListParagraph"/>
        <w:numPr>
          <w:ilvl w:val="0"/>
          <w:numId w:val="3"/>
        </w:numPr>
        <w:spacing w:after="60"/>
      </w:pPr>
      <w:r>
        <w:t xml:space="preserve">Enforce “grounded only” responses on all three agents — no answer without a retrieved source; configure a fallback message for no-match cases.</w:t>
      </w:r>
    </w:p>
    <w:p>
      <w:pPr>
        <w:pStyle w:val="ListParagraph"/>
        <w:numPr>
          <w:ilvl w:val="0"/>
          <w:numId w:val="3"/>
        </w:numPr>
        <w:spacing w:after="60"/>
      </w:pPr>
      <w:r>
        <w:t xml:space="preserve">Enable content filtering at the model deployment level (default Azure OpenAI content filters are sufficient for an internal pilot).</w:t>
      </w:r>
    </w:p>
    <w:p>
      <w:pPr>
        <w:pStyle w:val="ListParagraph"/>
        <w:numPr>
          <w:ilvl w:val="0"/>
          <w:numId w:val="3"/>
        </w:numPr>
        <w:spacing w:after="60"/>
      </w:pPr>
      <w:r>
        <w:t xml:space="preserve">Restrict agent access to the sg-ai-pilot-regional-directors security group only, via Entra ID app role assignment on the Teams app / Foundry-published endpoint.</w:t>
      </w:r>
    </w:p>
    <w:p>
      <w:pPr>
        <w:pStyle w:val="ListParagraph"/>
        <w:numPr>
          <w:ilvl w:val="0"/>
          <w:numId w:val="3"/>
        </w:numPr>
        <w:spacing w:after="60"/>
      </w:pPr>
      <w:r>
        <w:t xml:space="preserve">Turn on logging/telemetry (Azure Monitor / Application Insights) for the Foundry project so you can review question volume, failure rate, and unanswered queries during the pilot.</w:t>
      </w:r>
    </w:p>
    <w:p>
      <w:pPr>
        <w:pStyle w:val="Heading2"/>
      </w:pPr>
      <w:r>
        <w:t xml:space="preserve">4.7 Publish to Teams / Microsoft 365 Copilot</w:t>
      </w:r>
    </w:p>
    <w:p>
      <w:pPr>
        <w:pStyle w:val="ListParagraph"/>
        <w:numPr>
          <w:ilvl w:val="0"/>
          <w:numId w:val="2"/>
        </w:numPr>
        <w:spacing w:after="60"/>
      </w:pPr>
      <w:r>
        <w:t xml:space="preserve">From Azure AI Foundry, publish the agent(s) as a Teams app (Foundry supports one-click Teams packaging, or export the Teams app manifest for manual upload).</w:t>
      </w:r>
    </w:p>
    <w:p>
      <w:pPr>
        <w:pStyle w:val="ListParagraph"/>
        <w:numPr>
          <w:ilvl w:val="0"/>
          <w:numId w:val="2"/>
        </w:numPr>
        <w:spacing w:after="60"/>
      </w:pPr>
      <w:r>
        <w:t xml:space="preserve">Upload the app package to the Teams Admin Centre and target it to the sg-ai-pilot-regional-directors group only (custom app policy), rather than tenant-wide.</w:t>
      </w:r>
    </w:p>
    <w:p>
      <w:pPr>
        <w:pStyle w:val="ListParagraph"/>
        <w:numPr>
          <w:ilvl w:val="0"/>
          <w:numId w:val="2"/>
        </w:numPr>
        <w:spacing w:after="60"/>
      </w:pPr>
      <w:r>
        <w:t xml:space="preserve">If M365 Copilot access is preferred over a standalone Teams app, publish the same Foundry agent as a declarative Copilot agent / plugin scoped to the same security group.</w:t>
      </w:r>
    </w:p>
    <w:p>
      <w:pPr>
        <w:pStyle w:val="ListParagraph"/>
        <w:numPr>
          <w:ilvl w:val="0"/>
          <w:numId w:val="2"/>
        </w:numPr>
        <w:spacing w:after="60"/>
      </w:pPr>
      <w:r>
        <w:t xml:space="preserve">Confirm each pilot user can see and pin the app, and that unauthorised users cannot.</w:t>
      </w:r>
    </w:p>
    <w:p>
      <w:pPr>
        <w:pStyle w:val="Heading1"/>
      </w:pPr>
      <w:r>
        <w:t xml:space="preserve">5. Testing &amp; UAT</w:t>
      </w:r>
    </w:p>
    <w:p>
      <w:pPr>
        <w:pStyle w:val="ListParagraph"/>
        <w:numPr>
          <w:ilvl w:val="0"/>
          <w:numId w:val="3"/>
        </w:numPr>
        <w:spacing w:after="60"/>
      </w:pPr>
      <w:r>
        <w:t xml:space="preserve">Run the example queries from 4.3–4.5 against each agent and confirm citations resolve to the correct SharePoint document.</w:t>
      </w:r>
    </w:p>
    <w:p>
      <w:pPr>
        <w:pStyle w:val="ListParagraph"/>
        <w:numPr>
          <w:ilvl w:val="0"/>
          <w:numId w:val="3"/>
        </w:numPr>
        <w:spacing w:after="60"/>
      </w:pPr>
      <w:r>
        <w:t xml:space="preserve">Recruit 2–3 Regional Directors for a short UAT pass (1–2 weeks) before the full 10–15 user rollout — capture failed/awkward queries as index or instruction tuning items.</w:t>
      </w:r>
    </w:p>
    <w:p>
      <w:pPr>
        <w:pStyle w:val="ListParagraph"/>
        <w:numPr>
          <w:ilvl w:val="0"/>
          <w:numId w:val="3"/>
        </w:numPr>
        <w:spacing w:after="60"/>
      </w:pPr>
      <w:r>
        <w:t xml:space="preserve">Re-run the AI Search indexer and re-test after any SharePoint content restructuring identified during UAT.</w:t>
      </w:r>
    </w:p>
    <w:p>
      <w:pPr>
        <w:pStyle w:val="ListParagraph"/>
        <w:numPr>
          <w:ilvl w:val="0"/>
          <w:numId w:val="3"/>
        </w:numPr>
        <w:spacing w:after="60"/>
      </w:pPr>
      <w:r>
        <w:t xml:space="preserve">Confirm the no-match fallback behaves correctly (agent says it doesn't know rather than fabricating an answer).</w:t>
      </w:r>
    </w:p>
    <w:p>
      <w:pPr>
        <w:pStyle w:val="Heading1"/>
      </w:pPr>
      <w:r>
        <w:t xml:space="preserve">6. Success Criteria</w:t>
      </w:r>
    </w:p>
    <w:p>
      <w:pPr>
        <w:spacing w:after="120"/>
      </w:pPr>
      <w:r>
        <w:t xml:space="preserve">The pilot is considered successful if, for the 10–15 power users over the trial period, the assistant can reliably:</w:t>
      </w:r>
    </w:p>
    <w:p>
      <w:pPr>
        <w:pStyle w:val="ListParagraph"/>
        <w:numPr>
          <w:ilvl w:val="0"/>
          <w:numId w:val="3"/>
        </w:numPr>
        <w:spacing w:after="60"/>
      </w:pPr>
      <w:r>
        <w:t xml:space="preserve">Answer policy position questions with correct, cited sources.</w:t>
      </w:r>
    </w:p>
    <w:p>
      <w:pPr>
        <w:pStyle w:val="ListParagraph"/>
        <w:numPr>
          <w:ilvl w:val="0"/>
          <w:numId w:val="3"/>
        </w:numPr>
        <w:spacing w:after="60"/>
      </w:pPr>
      <w:r>
        <w:t xml:space="preserve">Answer cross-region questions with structured, per-region comparisons.</w:t>
      </w:r>
    </w:p>
    <w:p>
      <w:pPr>
        <w:pStyle w:val="ListParagraph"/>
        <w:numPr>
          <w:ilvl w:val="0"/>
          <w:numId w:val="3"/>
        </w:numPr>
        <w:spacing w:after="60"/>
      </w:pPr>
      <w:r>
        <w:t xml:space="preserve">Generate usable first-draft briefing notes/talking points.</w:t>
      </w:r>
    </w:p>
    <w:p>
      <w:pPr>
        <w:pStyle w:val="ListParagraph"/>
        <w:numPr>
          <w:ilvl w:val="0"/>
          <w:numId w:val="3"/>
        </w:numPr>
        <w:spacing w:after="60"/>
      </w:pPr>
      <w:r>
        <w:t xml:space="preserve">Provide a citation on every substantive claim, and decline rather than guess when it lacks grounding.</w:t>
      </w:r>
    </w:p>
    <w:p>
      <w:pPr>
        <w:pStyle w:val="Heading1"/>
      </w:pPr>
      <w:r>
        <w:t xml:space="preserve">7. Estimated Effort &amp; Cost</w:t>
      </w:r>
    </w:p>
    <w:tbl>
      <w:tblPr>
        <w:tblW w:type="dxa" w:w="4879"/>
        <w:tblBorders>
          <w:top w:val="single" w:color="auto" w:sz="4"/>
          <w:left w:val="single" w:color="auto" w:sz="4"/>
          <w:bottom w:val="single" w:color="auto" w:sz="4"/>
          <w:right w:val="single" w:color="auto" w:sz="4"/>
          <w:insideH w:val="single" w:color="auto" w:sz="4"/>
          <w:insideV w:val="single" w:color="auto" w:sz="4"/>
        </w:tblBorders>
      </w:tblPr>
      <w:tblGrid>
        <w:gridCol w:w="3466"/>
        <w:gridCol w:w="1413"/>
      </w:tblGrid>
      <w:tr>
        <w:tc>
          <w:tcPr>
            <w:tcW w:type="dxa" w:w="3466"/>
            <w:shd w:fill="F2F2F2" w:val="clear"/>
            <w:tcMar>
              <w:top w:type="dxa" w:w="100"/>
              <w:left w:type="dxa" w:w="120"/>
              <w:bottom w:type="dxa" w:w="100"/>
              <w:right w:type="dxa" w:w="120"/>
            </w:tcMar>
          </w:tcPr>
          <w:p>
            <w:r>
              <w:rPr>
                <w:b/>
                <w:bCs/>
              </w:rPr>
              <w:t xml:space="preserve">Activity</w:t>
            </w:r>
          </w:p>
        </w:tc>
        <w:tc>
          <w:tcPr>
            <w:tcW w:type="dxa" w:w="1413"/>
            <w:shd w:fill="F2F2F2" w:val="clear"/>
            <w:tcMar>
              <w:top w:type="dxa" w:w="100"/>
              <w:left w:type="dxa" w:w="120"/>
              <w:bottom w:type="dxa" w:w="100"/>
              <w:right w:type="dxa" w:w="120"/>
            </w:tcMar>
          </w:tcPr>
          <w:p>
            <w:r>
              <w:rPr>
                <w:b/>
                <w:bCs/>
              </w:rPr>
              <w:t xml:space="preserve">Effort</w:t>
            </w:r>
          </w:p>
        </w:tc>
      </w:tr>
      <w:tr>
        <w:tc>
          <w:tcPr>
            <w:tcW w:type="dxa" w:w="3466"/>
            <w:tcMar>
              <w:top w:type="dxa" w:w="100"/>
              <w:left w:type="dxa" w:w="120"/>
              <w:bottom w:type="dxa" w:w="100"/>
              <w:right w:type="dxa" w:w="120"/>
            </w:tcMar>
          </w:tcPr>
          <w:p>
            <w:r>
              <w:rPr>
                <w:b w:val="false"/>
                <w:bCs w:val="false"/>
              </w:rPr>
              <w:t xml:space="preserve">Discovery</w:t>
            </w:r>
          </w:p>
        </w:tc>
        <w:tc>
          <w:tcPr>
            <w:tcW w:type="dxa" w:w="1413"/>
            <w:tcMar>
              <w:top w:type="dxa" w:w="100"/>
              <w:left w:type="dxa" w:w="120"/>
              <w:bottom w:type="dxa" w:w="100"/>
              <w:right w:type="dxa" w:w="120"/>
            </w:tcMar>
          </w:tcPr>
          <w:p>
            <w:r>
              <w:rPr>
                <w:b w:val="false"/>
                <w:bCs w:val="false"/>
              </w:rPr>
              <w:t xml:space="preserve">3–5 days</w:t>
            </w:r>
          </w:p>
        </w:tc>
      </w:tr>
      <w:tr>
        <w:tc>
          <w:tcPr>
            <w:tcW w:type="dxa" w:w="3466"/>
            <w:tcMar>
              <w:top w:type="dxa" w:w="100"/>
              <w:left w:type="dxa" w:w="120"/>
              <w:bottom w:type="dxa" w:w="100"/>
              <w:right w:type="dxa" w:w="120"/>
            </w:tcMar>
          </w:tcPr>
          <w:p>
            <w:r>
              <w:rPr>
                <w:b w:val="false"/>
                <w:bCs w:val="false"/>
              </w:rPr>
              <w:t xml:space="preserve">Source onboarding (SharePoint scoping &amp; access)</w:t>
            </w:r>
          </w:p>
        </w:tc>
        <w:tc>
          <w:tcPr>
            <w:tcW w:type="dxa" w:w="1413"/>
            <w:tcMar>
              <w:top w:type="dxa" w:w="100"/>
              <w:left w:type="dxa" w:w="120"/>
              <w:bottom w:type="dxa" w:w="100"/>
              <w:right w:type="dxa" w:w="120"/>
            </w:tcMar>
          </w:tcPr>
          <w:p>
            <w:r>
              <w:rPr>
                <w:b w:val="false"/>
                <w:bCs w:val="false"/>
              </w:rPr>
              <w:t xml:space="preserve">3–5 days</w:t>
            </w:r>
          </w:p>
        </w:tc>
      </w:tr>
      <w:tr>
        <w:tc>
          <w:tcPr>
            <w:tcW w:type="dxa" w:w="3466"/>
            <w:tcMar>
              <w:top w:type="dxa" w:w="100"/>
              <w:left w:type="dxa" w:w="120"/>
              <w:bottom w:type="dxa" w:w="100"/>
              <w:right w:type="dxa" w:w="120"/>
            </w:tcMar>
          </w:tcPr>
          <w:p>
            <w:r>
              <w:rPr>
                <w:b w:val="false"/>
                <w:bCs w:val="false"/>
              </w:rPr>
              <w:t xml:space="preserve">AI Search setup</w:t>
            </w:r>
          </w:p>
        </w:tc>
        <w:tc>
          <w:tcPr>
            <w:tcW w:type="dxa" w:w="1413"/>
            <w:tcMar>
              <w:top w:type="dxa" w:w="100"/>
              <w:left w:type="dxa" w:w="120"/>
              <w:bottom w:type="dxa" w:w="100"/>
              <w:right w:type="dxa" w:w="120"/>
            </w:tcMar>
          </w:tcPr>
          <w:p>
            <w:r>
              <w:rPr>
                <w:b w:val="false"/>
                <w:bCs w:val="false"/>
              </w:rPr>
              <w:t xml:space="preserve">2–3 days</w:t>
            </w:r>
          </w:p>
        </w:tc>
      </w:tr>
      <w:tr>
        <w:tc>
          <w:tcPr>
            <w:tcW w:type="dxa" w:w="3466"/>
            <w:tcMar>
              <w:top w:type="dxa" w:w="100"/>
              <w:left w:type="dxa" w:w="120"/>
              <w:bottom w:type="dxa" w:w="100"/>
              <w:right w:type="dxa" w:w="120"/>
            </w:tcMar>
          </w:tcPr>
          <w:p>
            <w:r>
              <w:rPr>
                <w:b w:val="false"/>
                <w:bCs w:val="false"/>
              </w:rPr>
              <w:t xml:space="preserve">Foundry Agent configuration (3 agents)</w:t>
            </w:r>
          </w:p>
        </w:tc>
        <w:tc>
          <w:tcPr>
            <w:tcW w:type="dxa" w:w="1413"/>
            <w:tcMar>
              <w:top w:type="dxa" w:w="100"/>
              <w:left w:type="dxa" w:w="120"/>
              <w:bottom w:type="dxa" w:w="100"/>
              <w:right w:type="dxa" w:w="120"/>
            </w:tcMar>
          </w:tcPr>
          <w:p>
            <w:r>
              <w:rPr>
                <w:b w:val="false"/>
                <w:bCs w:val="false"/>
              </w:rPr>
              <w:t xml:space="preserve">3–5 days</w:t>
            </w:r>
          </w:p>
        </w:tc>
      </w:tr>
      <w:tr>
        <w:tc>
          <w:tcPr>
            <w:tcW w:type="dxa" w:w="3466"/>
            <w:tcMar>
              <w:top w:type="dxa" w:w="100"/>
              <w:left w:type="dxa" w:w="120"/>
              <w:bottom w:type="dxa" w:w="100"/>
              <w:right w:type="dxa" w:w="120"/>
            </w:tcMar>
          </w:tcPr>
          <w:p>
            <w:r>
              <w:rPr>
                <w:b w:val="false"/>
                <w:bCs w:val="false"/>
              </w:rPr>
              <w:t xml:space="preserve">Testing &amp; tuning</w:t>
            </w:r>
          </w:p>
        </w:tc>
        <w:tc>
          <w:tcPr>
            <w:tcW w:type="dxa" w:w="1413"/>
            <w:tcMar>
              <w:top w:type="dxa" w:w="100"/>
              <w:left w:type="dxa" w:w="120"/>
              <w:bottom w:type="dxa" w:w="100"/>
              <w:right w:type="dxa" w:w="120"/>
            </w:tcMar>
          </w:tcPr>
          <w:p>
            <w:r>
              <w:rPr>
                <w:b w:val="false"/>
                <w:bCs w:val="false"/>
              </w:rPr>
              <w:t xml:space="preserve">3–5 days</w:t>
            </w:r>
          </w:p>
        </w:tc>
      </w:tr>
      <w:tr>
        <w:tc>
          <w:tcPr>
            <w:tcW w:type="dxa" w:w="3466"/>
            <w:tcMar>
              <w:top w:type="dxa" w:w="100"/>
              <w:left w:type="dxa" w:w="120"/>
              <w:bottom w:type="dxa" w:w="100"/>
              <w:right w:type="dxa" w:w="120"/>
            </w:tcMar>
          </w:tcPr>
          <w:p>
            <w:r>
              <w:rPr>
                <w:b w:val="false"/>
                <w:bCs w:val="false"/>
              </w:rPr>
              <w:t xml:space="preserve">UAT &amp; deployment</w:t>
            </w:r>
          </w:p>
        </w:tc>
        <w:tc>
          <w:tcPr>
            <w:tcW w:type="dxa" w:w="1413"/>
            <w:tcMar>
              <w:top w:type="dxa" w:w="100"/>
              <w:left w:type="dxa" w:w="120"/>
              <w:bottom w:type="dxa" w:w="100"/>
              <w:right w:type="dxa" w:w="120"/>
            </w:tcMar>
          </w:tcPr>
          <w:p>
            <w:r>
              <w:rPr>
                <w:b w:val="false"/>
                <w:bCs w:val="false"/>
              </w:rPr>
              <w:t xml:space="preserve">2–3 days</w:t>
            </w:r>
          </w:p>
        </w:tc>
      </w:tr>
    </w:tbl>
    <w:p>
      <w:pPr>
        <w:spacing w:before="160"/>
      </w:pPr>
    </w:p>
    <w:p>
      <w:pPr>
        <w:spacing w:after="120"/>
      </w:pPr>
      <w:r>
        <w:rPr>
          <w:b/>
          <w:bCs/>
        </w:rPr>
        <w:t xml:space="preserve">Total: roughly 15–25 consulting days, versus 37–70 days for the original custom-platform proposal.</w:t>
      </w:r>
    </w:p>
    <w:p>
      <w:pPr>
        <w:spacing w:after="120"/>
      </w:pPr>
      <w:r>
        <w:t xml:space="preserve">Indicative budget: Stage 1 target of $25k–$50k, covering Azure AI Search, Azure AI Foundry Agent Service, SharePoint ingestion, and Teams deployment for internal-only policy information.</w:t>
      </w:r>
    </w:p>
    <w:p>
      <w:pPr>
        <w:pStyle w:val="Heading1"/>
      </w:pPr>
      <w:r>
        <w:t xml:space="preserve">8. Roadmap Beyond Stage 1</w:t>
      </w:r>
    </w:p>
    <w:p>
      <w:pPr>
        <w:pStyle w:val="Heading2"/>
      </w:pPr>
      <w:r>
        <w:t xml:space="preserve">Stage 2 (only if Stage 1 succeeds)</w:t>
      </w:r>
    </w:p>
    <w:p>
      <w:pPr>
        <w:pStyle w:val="ListParagraph"/>
        <w:numPr>
          <w:ilvl w:val="0"/>
          <w:numId w:val="3"/>
        </w:numPr>
        <w:spacing w:after="60"/>
      </w:pPr>
      <w:r>
        <w:t xml:space="preserve">Add external sources: ABS, REMPLAN, NSW/Federal Government RSS feeds, Parliamentary inquiry feeds, media monitoring.</w:t>
      </w:r>
    </w:p>
    <w:p>
      <w:pPr>
        <w:pStyle w:val="ListParagraph"/>
        <w:numPr>
          <w:ilvl w:val="0"/>
          <w:numId w:val="3"/>
        </w:numPr>
        <w:spacing w:after="60"/>
      </w:pPr>
      <w:r>
        <w:t xml:space="preserve">Add agent memory/history for follow-up questions within a conversation.</w:t>
      </w:r>
    </w:p>
    <w:p>
      <w:pPr>
        <w:pStyle w:val="ListParagraph"/>
        <w:numPr>
          <w:ilvl w:val="0"/>
          <w:numId w:val="3"/>
        </w:numPr>
        <w:spacing w:after="60"/>
      </w:pPr>
      <w:r>
        <w:t xml:space="preserve">Add cross-region analytics/dashboards on top of the same Search index.</w:t>
      </w:r>
    </w:p>
    <w:p>
      <w:pPr>
        <w:pStyle w:val="Heading2"/>
      </w:pPr>
      <w:r>
        <w:t xml:space="preserve">Stage 3 (enterprise rollout)</w:t>
      </w:r>
    </w:p>
    <w:p>
      <w:pPr>
        <w:pStyle w:val="ListParagraph"/>
        <w:numPr>
          <w:ilvl w:val="0"/>
          <w:numId w:val="3"/>
        </w:numPr>
        <w:spacing w:after="60"/>
      </w:pPr>
      <w:r>
        <w:t xml:space="preserve">Extend the same Foundry Agent Service pattern to Membership, Workplace Advice, Apprenticeships, and HR — each as its own scoped agent reusing the same governance and Search infrastructure, without rebuilding the platform.</w:t>
      </w:r>
    </w:p>
    <w:p>
      <w:pPr>
        <w:pStyle w:val="Heading1"/>
      </w:pPr>
      <w:r>
        <w:t xml:space="preserve">9. Risks &amp; Considerations</w:t>
      </w:r>
    </w:p>
    <w:p>
      <w:pPr>
        <w:pStyle w:val="ListParagraph"/>
        <w:numPr>
          <w:ilvl w:val="0"/>
          <w:numId w:val="3"/>
        </w:numPr>
        <w:spacing w:after="60"/>
      </w:pPr>
      <w:r>
        <w:t xml:space="preserve">SharePoint permission sprawl: if source libraries have inconsistent permissions, the indexer may either miss content or (worse) surface content a user shouldn't see — verify with a permissions audit before go-live, and prefer document-level security trimming on the index if libraries have mixed access.</w:t>
      </w:r>
    </w:p>
    <w:p>
      <w:pPr>
        <w:pStyle w:val="ListParagraph"/>
        <w:numPr>
          <w:ilvl w:val="0"/>
          <w:numId w:val="3"/>
        </w:numPr>
        <w:spacing w:after="60"/>
      </w:pPr>
      <w:r>
        <w:t xml:space="preserve">Answer quality is bounded by source document quality — stale or contradictory SharePoint content will produce stale or contradictory answers; Stage 1 UAT should surface these gaps for the content owners to fix.</w:t>
      </w:r>
    </w:p>
    <w:p>
      <w:pPr>
        <w:pStyle w:val="ListParagraph"/>
        <w:numPr>
          <w:ilvl w:val="0"/>
          <w:numId w:val="3"/>
        </w:numPr>
        <w:spacing w:after="60"/>
      </w:pPr>
      <w:r>
        <w:t xml:space="preserve">Cost control: consumption-based Foundry/Search/OpenAI charges scale with usage — monitor via Azure Cost Management from day one of the pilot, not after.</w:t>
      </w:r>
    </w:p>
    <w:p>
      <w:pPr>
        <w:pStyle w:val="ListParagraph"/>
        <w:numPr>
          <w:ilvl w:val="0"/>
          <w:numId w:val="3"/>
        </w:numPr>
        <w:spacing w:after="60"/>
      </w:pPr>
      <w:r>
        <w:t xml:space="preserve">This runbook assumes Australia East for data residency; confirm this matches Business NSW's data residency requirements before provisioning.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2026-08-10T06:16:05.254Z</dcterms:created>
  <dcterms:modified xsi:type="dcterms:W3CDTF">2026-08-10T06:16:05.255Z</dcterms:modified>
</cp:coreProperties>
</file>

<file path=docProps/custom.xml><?xml version="1.0" encoding="utf-8"?>
<Properties xmlns="http://schemas.openxmlformats.org/officeDocument/2006/custom-properties" xmlns:vt="http://schemas.openxmlformats.org/officeDocument/2006/docPropsVTypes"/>
</file>