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9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5943600" cy="8163017"/>
            <wp:effectExtent b="0" l="0" r="0" t="0"/>
            <wp:docPr id="1" name="image-y1INBi4EZENEzVarXpM8P.png"/>
            <a:graphic>
              <a:graphicData uri="http://schemas.openxmlformats.org/drawingml/2006/picture">
                <pic:pic>
                  <pic:nvPicPr>
                    <pic:cNvPr id="1" name="image-y1INBi4EZENEzVarXpM8P.png" descr="figure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63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/>
      </w:pPr>
      <w:r>
        <w:rPr>
          <w:color w:val="50616D"/>
        </w:rPr>
        <w:t xml:space="preserve">From the delapan knowledge-engine / ai-tooling-landscape KB</w:t>
      </w:r>
    </w:p>
    <w:p>
      <w:pPr>
        <w:spacing w:lineRule="auto"/>
      </w:pPr>
      <w:r>
        <w:rPr/>
        <w:drawing>
          <wp:inline distB="0" distL="0" distR="0" distT="0">
            <wp:extent cx="5943600" cy="3104492"/>
            <wp:effectExtent b="0" l="0" r="0" t="0"/>
            <wp:docPr id="2" name="image-9lLRFpu4UqaauSzL5MaaT.png"/>
            <a:graphic>
              <a:graphicData uri="http://schemas.openxmlformats.org/drawingml/2006/picture">
                <pic:pic>
                  <pic:nvPicPr>
                    <pic:cNvPr id="2" name="image-9lLRFpu4UqaauSzL5MaaT.png" descr="figur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color w:val="75878A"/>
          <w:sz w:val="18"/>
        </w:rPr>
        <w:t xml:space="preserve">Figure 1. delapan's exploration pipeline: plan → search → crawl → extract → merge into deduplicated, embedded findings.</w:t>
      </w:r>
    </w:p>
    <w:p>
      <w:pPr>
        <w:spacing w:lineRule="auto"/>
      </w:pPr>
      <w:r>
        <w:rPr/>
        <w:drawing>
          <wp:inline distB="0" distL="0" distR="0" distT="0">
            <wp:extent cx="5943600" cy="2783209"/>
            <wp:effectExtent b="0" l="0" r="0" t="0"/>
            <wp:docPr id="3" name="image-0GUqvhNIIPXSyR5McW51E.png"/>
            <a:graphic>
              <a:graphicData uri="http://schemas.openxmlformats.org/drawingml/2006/picture">
                <pic:pic>
                  <pic:nvPicPr>
                    <pic:cNvPr id="3" name="image-0GUqvhNIIPXSyR5McW51E.png" descr="figure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color w:val="75878A"/>
          <w:sz w:val="18"/>
        </w:rPr>
        <w:t xml:space="preserve">Figure 2. Distribution of merged findings across categories in the KB.</w:t>
      </w:r>
    </w:p>
    <w:p>
      <w:pPr>
        <w:pStyle w:val="Heading2"/>
        <w:spacing w:lineRule="auto"/>
      </w:pPr>
      <w:r>
        <w:rPr>
          <w:color w:val="FF4C00"/>
          <w:sz w:val="30"/>
        </w:rPr>
        <w:t xml:space="preserve">Licensing Terms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Open-Source LLM Licensing Terms Summary</w:t>
      </w:r>
      <w:r>
        <w:rPr/>
        <w:t xml:space="preserve"> — MIT: GLM-5.1, DeepSeek-R1 (unrestricted, full modification). Apache 2.0: Gemma 4, Qwen 3.5/3.6, Mistral Small 4 (unrestricted, patent grant). Meta Llama: Llama 4 (conditional, &gt;700M MAU restricted). Custom: DeepSeek V4 (most uses allowed, some use-case limits).</w:t>
      </w:r>
    </w:p>
    <w:p>
      <w:pPr>
        <w:pStyle w:val="Heading2"/>
        <w:spacing w:lineRule="auto"/>
      </w:pPr>
      <w:r>
        <w:rPr>
          <w:color w:val="FF4C00"/>
          <w:sz w:val="30"/>
        </w:rPr>
        <w:t xml:space="preserve">Benchmark Performance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DeepSeek Models SWE-Bench Verified Performance (2026)</w:t>
      </w:r>
      <w:r>
        <w:rPr/>
        <w:t xml:space="preserve"> — DeepSeek-V4-Pro-Max 0.806 (1.6T); DeepSeek-V4-Flash-Max 0.790 (284B); DeepSeek-V3.2 0.731 (685B); MiniMax M3 0.805; MiniMax M2.5 0.802 (230B); Kimi K2.6 0.802 (1.0T); GLM-5 0.778 (744B); GLM-4.7 0.738; Mistral Medium 3.5 0.776 (128B).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Head-to-Head Benchmark Comparison (April 2026)</w:t>
      </w:r>
      <w:r>
        <w:rPr/>
        <w:t xml:space="preserve"> — GLM-5.1 58.4% SWE-Bench Pro; Qwen 3.6-35B-A3B 73.4% SWE-bench Verified, 92.7% AIME 2026; Gemma 4 31B 89.2% AIME 2026; DeepSeek V4 ~80-85% SWE-bench; GPT-5.4 (proprietary ref) 57.7% SWE-Bench Pro; Claude Opus 4.6 (ref) 57.3%.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Open Source LLM Leaderboard Benchmarks (June 2026)</w:t>
      </w:r>
      <w:r>
        <w:rPr/>
        <w:t xml:space="preserve"> — Kimi K2.5: 87.6 GPQA, 76.8 SWE-Bench, 96.1 AIME 2025. Kimi K2 Thinking: 84.5 GPQA, 71.3 SWE-Bench, 99.1 AIME 2025, 44.9 HLE. DeepSeek R1: 71.5 GPQA, 49.2 SWE-Bench. Llama 4 Maverick: 69.8 GPQA, 65.0 SWE. Llama 4 Scout: 73.7 GPQA, 68.0 SWE. Nemotron Ultra 253B: 76.0 GPQA, 72.5 AIME.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Alibaba Cloud / Qwen Team SWE-Bench Verified (2026)</w:t>
      </w:r>
      <w:r>
        <w:rPr/>
        <w:t xml:space="preserve"> — Qwen3.7 Max 0.804; Qwen3.6 Plus 0.788; Qwen3.7-Plus 0.777; Qwen3.6-27B 0.772 (28B); Qwen3.5-397B-A17B 0.764; Qwen3.6-35B-A3B 0.734; Qwen3.5-27B 0.724; Qwen3.5-122B-A10B 0.720.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DeepSeek-R1-Distill-Llama-70B Benchmark Performance</w:t>
      </w:r>
      <w:r>
        <w:rPr/>
        <w:t xml:space="preserve"> — DeepSeek-R1-Distill-Llama-70B. LiveCodeBench 51.8%, MMLU-Pro 71.2%. Strengths: balanced performance, resource efficiency.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Qwen3-235B-A22B Benchmark Performance</w:t>
      </w:r>
      <w:r>
        <w:rPr/>
        <w:t xml:space="preserve"> — Qwen3-235B-A22B, Alibaba. LiveCodeBench 69.5%, MMLU-Pro 80.6%. Strengths: coding, software development, general knowledge, reasoning.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Qwen3.5-27B LiveCodeBench Performance</w:t>
      </w:r>
      <w:r>
        <w:rPr/>
        <w:t xml:space="preserve"> — Qwen3.5-27B, Q5_K_XL quantization, LiveCodeBench overall score 77.8%.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SWE-Bench Verified Saturation and Flaws</w:t>
      </w:r>
      <w:r>
        <w:rPr/>
        <w:t xml:space="preserve"> — SWE-Bench Verified pass-rate ceiling 97%. Models memorizing specific GitHub PRs rather than reasoning; ~60% of the hardest problems effectively unsolvable as written. Industry pivoting to SWE-Bench Pro for realistic cross-file refactors.</w:t>
      </w:r>
    </w:p>
    <w:p>
      <w:pPr>
        <w:pStyle w:val="Heading2"/>
        <w:spacing w:lineRule="auto"/>
      </w:pPr>
      <w:r>
        <w:rPr>
          <w:color w:val="FF4C00"/>
          <w:sz w:val="30"/>
        </w:rPr>
        <w:t xml:space="preserve">Licensing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2026 Open-Source LLM Licensing Terms</w:t>
      </w:r>
      <w:r>
        <w:rPr/>
        <w:t xml:space="preserve"> — Qwen 3: Apache 2.0 (no usage-scale or commercial restrictions). DeepSeek V3.2: MIT (all V3 variants since March 2025; fully permissive). Llama 4: Community License (commercial OK, requires Meta permission above 700M MAU).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Open Source LLM Licensing Types in 2026</w:t>
      </w:r>
      <w:r>
        <w:rPr/>
        <w:t xml:space="preserve"> — MIT: unrestricted commercial use, fine-tuning, redistribution. Apache 2.0: same, with attribution. Llama License: commercial under 700M users, Meta approval above. Gemma License: commercial OK, prohibits uses that harm Google products.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2025-2026 Open-Source LLM Licensing Landscape</w:t>
      </w:r>
      <w:r>
        <w:rPr/>
        <w:t xml:space="preserve"> — Apache 2.0: Qwen 3/3.5, Mistral Large 3, Mistral Small 4, Grok-1. MIT: DeepSeek V3/V3.2/R1, Phi-4, GLM-5. Custom caps: Llama 4 Community (700M MAU, EU multimodal), TII Falcon 2.0 (10% royalty &gt;$1M). Non-commercial: Command R+/A (CC-BY-NC).</w:t>
      </w:r>
    </w:p>
    <w:p>
      <w:pPr>
        <w:pStyle w:val="Heading2"/>
        <w:spacing w:lineRule="auto"/>
      </w:pPr>
      <w:r>
        <w:rPr>
          <w:color w:val="FF4C00"/>
          <w:sz w:val="30"/>
        </w:rPr>
        <w:t xml:space="preserve">Model Release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Gemma 4 (Google DeepMind) Specifications</w:t>
      </w:r>
      <w:r>
        <w:rPr/>
        <w:t xml:space="preserve"> — Gemma 4, Google DeepMind, West, April 2 2026. Variants E2B (2.3B), E4B (4B), 26B MoE (3.8B active), 31B Dense. AIME 2026 89.2% (31B). Context 128K-256K. License Apache 2.0. Native function calling via gemma-mcp.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Qwen 3 and 3.5 Series by Alibaba</w:t>
      </w:r>
      <w:r>
        <w:rPr/>
        <w:t xml:space="preserve"> — Qwen 3.5 397B-A17B / 122B-A10B / 27B (Feb 2026); Qwen 3 235B / 32B / 8B (Apr 2025). AIME-24 85.7%, GPQA Diamond 77.2%, MMLU-Pro 83.6% (Qwen3 235B). Apache 2.0. 256K context, 201 languages, agentic coding, toggleable thinking. China (Alibaba).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GLM-5 by Z.ai</w:t>
      </w:r>
      <w:r>
        <w:rPr/>
        <w:t xml:space="preserve"> — GLM-5, 2026, 744B total / 40B active MoE, MIT, China (Z.ai). SWE-bench Verified 77.8%, HLE 50.4%. 205K context, multimodal. Trained on 100,000 Huawei Ascend 910B chips (no US-manufactured hardware). Feb 2026.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Google Gemma 3 Series</w:t>
      </w:r>
      <w:r>
        <w:rPr/>
        <w:t xml:space="preserve"> — Gemma 3 27B/12B/4B (Mar 2025), FunctionGemma 270M (Dec 2025). MMLU 78.6%, MATH-500 50.0%, Chatbot Arena 1338 Elo (27B). License Gemma (permissive, requires agreement). 4B uses 4.2GB RAM; multimodal. West (Google).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DeepSeek R1 and V3 0324 (2025)</w:t>
      </w:r>
      <w:r>
        <w:rPr/>
        <w:t xml:space="preserve"> — DeepSeek R1 (Jan 2025), V3 0324 (Mar 2025), China, MIT. 671B/37B (R1), 685B/37B (V3 0324). SWE-bench 49.2%/42.0%, GPQA 71.5%/59.1%, AIME 74.0%/58.1%. R1 training under $6M. Distilled variants 1.5B-70B. Unsloth, Thunder Compute.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Meta Llama 4 Maverick and Scout (2025)</w:t>
      </w:r>
      <w:r>
        <w:rPr/>
        <w:t xml:space="preserve"> — Llama 4, Apr 2025, West, Llama 4 Community License (free &lt;700M MAU). MoE: Maverick 400B/17B, Scout 109B/17B. SWE-bench 65.0%/68.0%, GPQA 69.8%/73.7%, MMMLU 84.6%. Context 1M (Maverick)/192K (Scout). Ollama, Unsloth.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Qwen3.6-35B-A3B by Alibaba</w:t>
      </w:r>
      <w:r>
        <w:rPr/>
        <w:t xml:space="preserve"> — Qwen3.6-35B-A3B, 2026, 35B total / 3B active, 262K context (to ~1M), Apache 2.0. Repo-level/local coding focus. China (Alibaba). Strong single-server candidate with quantization (L40S, A100, H100).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Meta Llama 4 Scout and Maverick</w:t>
      </w:r>
      <w:r>
        <w:rPr/>
        <w:t xml:space="preserve"> — Llama 4 Scout 109B / Maverick 400B (Apr 2025). MMLU 85.5% (Maverick), 79.6% (Scout). Llama 4 Community (free &lt;700M MAU; EU multimodal restrictions). Scout 10M context; Maverick 1M, 128 experts. Natively multimodal. West (Meta).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DeepSeek V3, V3.2, and R1 Models</w:t>
      </w:r>
      <w:r>
        <w:rPr/>
        <w:t xml:space="preserve"> — DeepSeek V3.2 (Dec 2025), R1 (Jan 2025), V3 (Jan 2025). MATH-500 97.3% (R1), MMLU-Pro 84.0% (R1). Gold at IMO 2025, IOI 2025, ICPC World Finals (V3.2-Speciale). MIT. 671B/37B MoE. V3.2 integrates thinking into tool-use.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Kimi K2 and K2.5 by Moonshot AI (2025-2026)</w:t>
      </w:r>
      <w:r>
        <w:rPr/>
        <w:t xml:space="preserve"> — Kimi/Moonshot, China, Modified MIT (broad commercial use). MoE 1T total / 32B active. SWE-bench 76.8% (K2.5)/71.3% (K2 Thinking), GPQA 87.6%/84.5%, AIME 96.1%/99.1%. K2 Thinking: 200-300 consecutive tool calls. K2.5 native multimodal, 15T tokens.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Qwen 3.6 (Alibaba) Efficiency and Benchmarks</w:t>
      </w:r>
      <w:r>
        <w:rPr/>
        <w:t xml:space="preserve"> — Qwen 3.6-35B-A3B, Alibaba, China, April 14 2026, 35B/3B MoE. SWE-bench Verified 73.4%, AIME 2026 92.7%. 262K context (to 1M). Apache 2.0. Free on OpenRouter during preview. Works with Claude Code and OpenClaw.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GLM-5.1 (Zhipu AI) Release and Capabilities</w:t>
      </w:r>
      <w:r>
        <w:rPr/>
        <w:t xml:space="preserve"> — GLM-5.1, Zhipu AI, China, April 7 2026, 754B total MoE / ~32B active. SWE-Bench Pro 58.4% (#1 globally), NL2Repo 42.7%. MIT. Autonomous coding up to 8 hours, 6,000+ tool calls per session. 4-8x A100/H100 for full precision.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Llama 4 (Meta) Multimodal Models</w:t>
      </w:r>
      <w:r>
        <w:rPr/>
        <w:t xml:space="preserve"> — Llama 4, Meta, West. Scout (109B/17B), Maverick (400B). 10M token context (Scout). Meta Llama License (&lt;700M MAU). Native image + video understanding. Function calling via tool_use; LangChain, CrewAI.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Sarvam 30B and 105B</w:t>
      </w:r>
      <w:r>
        <w:rPr/>
        <w:t xml:space="preserve"> — Sarvam 30B (2.4B active) and 105B+ MoE, 2026, Apache 2.0. India-focused reasoning, Indian-language chat, code-mixed inputs. India (Sarvam). Server-centric India-focused deployment.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NVIDIA Nemotron Ultra 253B (2025)</w:t>
      </w:r>
      <w:r>
        <w:rPr/>
        <w:t xml:space="preserve"> — NVIDIA Nemotron, Apr 2025, West, NVIDIA Open Model License (commercial). Dense 253B (from Llama 3.1-405B via NAS). GPQA 76.0%, AIME 72.5%, MATH-500 &gt;97% with reasoning. Single 8x H100 FP8; vLLM.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Microsoft Phi-4 Series</w:t>
      </w:r>
      <w:r>
        <w:rPr/>
        <w:t xml:space="preserve"> — Phi-4 Reasoning Vision 15B (Mar 2026), Phi-4 14B (Jan 2025), Phi-4 Mini 3.8B (Jan 2025). MIT. Mini 128K context. Reasoning Vision 15B up to 3,600 visual tokens for GUI grounding. West (Microsoft).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Mistral Small 4 and Large 3</w:t>
      </w:r>
      <w:r>
        <w:rPr/>
        <w:t xml:space="preserve"> — Mistral Small 4 (Mar 2026), Large 3 (Dec 2025). Apache 2.0. Small 4 (119B/6B) combines Magistral, Pixtral, Devstral, 256K context. Large 3 (675B/41B) supports 80+ languages. West (Mistral AI).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Mistral Small 4 Unified Model</w:t>
      </w:r>
      <w:r>
        <w:rPr/>
        <w:t xml:space="preserve"> — Mistral Small 4, Mistral AI, West, March 16 2026, 119B total / ~6B active MoE. Apache 2.0. Instruct, reasoning, multimodal vision, agentic coding. Configurable reasoning effort for agent tasks.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y1INBi4EZENEzVarXpM8P.png" TargetMode="Internal"/>
  <Relationship Id="rId7" Type="http://schemas.openxmlformats.org/officeDocument/2006/relationships/image" Target="media/image-9lLRFpu4UqaauSzL5MaaT.png" TargetMode="Internal"/>
  <Relationship Id="rId8" Type="http://schemas.openxmlformats.org/officeDocument/2006/relationships/image" Target="media/image-0GUqvhNIIPXSyR5McW51E.png" TargetMode="In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Open-Weight LLM Landscape 2026</dc:title>
  <dc:subject/>
  <dc:creator>html-to-docx</dc:creator>
  <cp:keywords>html-to-docx</cp:keywords>
  <dc:description/>
  <cp:lastModifiedBy>html-to-docx</cp:lastModifiedBy>
  <cp:revision>1</cp:revision>
  <dcterms:created xsi:type="dcterms:W3CDTF">2026-06-28T02:18:52.506Z</dcterms:created>
  <dcterms:modified xsi:type="dcterms:W3CDTF">2026-06-28T02:18:52.506Z</dcterms:modified>
</cp:coreProperties>
</file>