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9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5943600" cy="8163017"/>
            <wp:effectExtent b="0" l="0" r="0" t="0"/>
            <wp:docPr id="1" name="image-UVB-dXbE0qTtF0z9f-pqy.png"/>
            <a:graphic>
              <a:graphicData uri="http://schemas.openxmlformats.org/drawingml/2006/picture">
                <pic:pic>
                  <pic:nvPicPr>
                    <pic:cNvPr id="1" name="image-UVB-dXbE0qTtF0z9f-pqy.png" descr="figure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/>
      </w:pPr>
      <w:r>
        <w:rPr/>
        <w:drawing>
          <wp:inline distB="0" distL="0" distR="0" distT="0">
            <wp:extent cx="5943600" cy="3104492"/>
            <wp:effectExtent b="0" l="0" r="0" t="0"/>
            <wp:docPr id="2" name="image-woxtuKuzk6uJXr-3dxaf_.png"/>
            <a:graphic>
              <a:graphicData uri="http://schemas.openxmlformats.org/drawingml/2006/picture">
                <pic:pic>
                  <pic:nvPicPr>
                    <pic:cNvPr id="2" name="image-woxtuKuzk6uJXr-3dxaf_.png" descr="figur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color w:val="75878A"/>
          <w:sz w:val="18"/>
        </w:rPr>
        <w:t xml:space="preserve">Figure 1. A planner opens gaps on a shared blackboard, researchers fill them from the web, a critic re-bands coverage and reopens weak gaps, and a synthesizer writes the report once coverage is rich.</w:t>
      </w:r>
    </w:p>
    <w:p>
      <w:pPr>
        <w:spacing w:lineRule="auto"/>
      </w:pPr>
      <w:r>
        <w:rPr/>
        <w:drawing>
          <wp:inline distB="0" distL="0" distR="0" distT="0">
            <wp:extent cx="5943600" cy="2375407"/>
            <wp:effectExtent b="0" l="0" r="0" t="0"/>
            <wp:docPr id="3" name="image-LsbmFVnIA0VYceUeAX1gA.png"/>
            <a:graphic>
              <a:graphicData uri="http://schemas.openxmlformats.org/drawingml/2006/picture">
                <pic:pic>
                  <pic:nvPicPr>
                    <pic:cNvPr id="3" name="image-LsbmFVnIA0VYceUeAX1gA.png" descr="figure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color w:val="75878A"/>
          <w:sz w:val="18"/>
        </w:rPr>
        <w:t xml:space="preserve">Figure 2. Findings the society merged per gap, colored by final coverage (green rich · gold sparse · red gap).</w:t>
      </w:r>
    </w:p>
    <w:p>
      <w:pPr>
        <w:pStyle w:val="Heading3"/>
        <w:spacing w:lineRule="auto"/>
      </w:pPr>
      <w:r>
        <w:rPr>
          <w:color w:val="4A4266"/>
          <w:sz w:val="25"/>
        </w:rPr>
        <w:t xml:space="preserve">Leading Models on Benchmarks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LongJudgeBench</w:t>
      </w:r>
      <w:r>
        <w:rPr/>
        <w:t xml:space="preserve"> is a benchmark that evaluates models on five real-world scenarios: deep research, scientific survey, creative writing, long-chain analysis, and systematic review. The average output length for this benchmark is 9,249.7 tokens (finding_id: fdae1afe76f742d7b73cf271ca6c5db1, finding_id: e83ea435e1f449f48fd19e3cfaa1ded0).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Medmarks</w:t>
      </w:r>
      <w:r>
        <w:rPr/>
        <w:t xml:space="preserve"> includes 30 fully open-source benchmarks across verifiable (Medmarks-V), open-ended (Medmarks-OE), and agentic tasks, covering areas such as question answering, information extraction, medical calculations, and clinical reasoning (finding_id: 64c7174940ce48309dbb0e1702d7b758).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TeleSWEBench</w:t>
      </w:r>
      <w:r>
        <w:rPr/>
        <w:t xml:space="preserve"> is a benchmark with 734 questions, divided into easy, medium, and difficult tiers, sourced from the srsRAN 5G repository (finding_id: e506331736454ac5a36505786762885a, finding_id: 14fa04b3c9f8453d854d93640a842616, finding_id: 1998bfacff3b4af79957a7f63c49a0c9).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SEC-bench Pro</w:t>
      </w:r>
      <w:r>
        <w:rPr/>
        <w:t xml:space="preserve"> contains 183 validated vulnerabilities across V8 and SpiderMonkey, with a cumulative V8 bounty award of $1,540,750 (finding_id: 63eee106ac174263b401dc69ce5a1f57).</w:t>
      </w:r>
    </w:p>
    <w:p>
      <w:pPr>
        <w:pStyle w:val="Heading3"/>
        <w:spacing w:lineRule="auto"/>
      </w:pPr>
      <w:r>
        <w:rPr>
          <w:color w:val="4A4266"/>
          <w:sz w:val="25"/>
        </w:rPr>
        <w:t xml:space="preserve">Licensing Trends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Apache 2.0 License</w:t>
      </w:r>
      <w:r>
        <w:rPr/>
        <w:t xml:space="preserve">: Qwen3 (Alibaba/Qwen) and Devstral (Mistral AI + All Hands AI) are released under the Apache 2.0 license, which allows commercial use, modification, and distribution without requiring attribution (finding_id: b4ba44b0aa604f4183d1039babbac90f, finding_id: 6b0d0d48fa9445debb26d9cbe71781a6, finding_id: ea4575238c234ed3806247385f5aaf63).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MIT License</w:t>
      </w:r>
      <w:r>
        <w:rPr/>
        <w:t xml:space="preserve">: Phi-4-mini (Microsoft) and DeepSeek-V4 Flash and Pro (DeepSeek AI) are released under the MIT license, which also allows commercial use, modification, and distribution without requiring attribution (finding_id: d414d65d5b8348d8919fd9c3ffb476c8, finding_id: c6ba94bc79c0496ea0d124659d245f1b, finding_id: 09e1175a559c4ac996e440128859c6e0, finding_id: a76cf56083f745999f363245742f74a2).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Modified MIT License</w:t>
      </w:r>
      <w:r>
        <w:rPr/>
        <w:t xml:space="preserve">: Kimi K2.6 (Moonshot AI) is released under a Modified MIT license, which requires attribution but allows commercial use and modification (finding_id: 0d964b48e82645038bd1a05d73c839b9, finding_id: 6cdf0553aa4f48c49418a74de153f147).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Gemma Terms of Use License</w:t>
      </w:r>
      <w:r>
        <w:rPr/>
        <w:t xml:space="preserve">: Gemma 3 (Google DeepMind) is released under a proprietary Gemma Terms of Use license (finding_id: 3250267403864bdbba831d3e6e798c4c).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Llama 4 Community License</w:t>
      </w:r>
      <w:r>
        <w:rPr/>
        <w:t xml:space="preserve">: Llama 4 Scout (Meta) is released under the Llama 4 Community License, which has specific user limits and restrictions (finding_id: 1e558eb5a4ea45ccadda92bb7f2f4d19).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Stability AI Community License</w:t>
      </w:r>
      <w:r>
        <w:rPr/>
        <w:t xml:space="preserve">: Stable Diffusion 3.5 Large (Stability AI) is released under the Stability AI Community License, which has revenue thresholds and enterprise licensing requirements (finding_id: 8b2fcb67608944e1a10404e60c6ebf53).</w:t>
      </w:r>
    </w:p>
    <w:p>
      <w:pPr>
        <w:pStyle w:val="Heading3"/>
        <w:spacing w:lineRule="auto"/>
      </w:pPr>
      <w:r>
        <w:rPr>
          <w:color w:val="4A4266"/>
          <w:sz w:val="25"/>
        </w:rPr>
        <w:t xml:space="preserve">Real-World Adoption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Qwen3</w:t>
      </w:r>
      <w:r>
        <w:rPr/>
        <w:t xml:space="preserve"> (Alibaba/Qwen) is available in multiple parameter sizes (1.7B to 235B) and is best suited for general assistant, coding, reasoning, multilingual apps, and agents (finding_id: b4ba44b0aa604f4183d1039babbac90f).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gpt-oss-20b and gpt-oss-120b</w:t>
      </w:r>
      <w:r>
        <w:rPr/>
        <w:t xml:space="preserve"> (OpenAI) are designed for private reasoning workflows, agentic tasks, internal enterprise assistants, and research (finding_id: 2d2459c438df4360bba34377b334502b).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Gemma 3</w:t>
      </w:r>
      <w:r>
        <w:rPr/>
        <w:t xml:space="preserve"> (Google DeepMind) is optimized for multimodal tasks, summarization, and general reasoning, targeting single GPU setups (finding_id: 3250267403864bdbba831d3e6e798c4c).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Phi-4-mini</w:t>
      </w:r>
      <w:r>
        <w:rPr/>
        <w:t xml:space="preserve"> (Microsoft) is designed for low-resource machines, students, and CPU/GPU constrained environments (finding_id: d414d65d5b8348d8919fd9c3ffb476c8).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Devstral</w:t>
      </w:r>
      <w:r>
        <w:rPr/>
        <w:t xml:space="preserve"> (Mistral AI + All Hands AI) is tailored for software engineering, local codebase work, and agent workflows (finding_id: 6b0d0d48fa9445debb26d9cbe71781a6).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Llama 4 Scout</w:t>
      </w:r>
      <w:r>
        <w:rPr/>
        <w:t xml:space="preserve"> (Meta) is ideal for long-context RAG, document analysis, and multimodal workloads, with a 10 million token context window (finding_id: 1e558eb5a4ea45ccadda92bb7f2f4d19).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DeepSeek-V4 Flash and Pro</w:t>
      </w:r>
      <w:r>
        <w:rPr/>
        <w:t xml:space="preserve"> (DeepSeek AI) are designed for frontier-level code generation, agentic workflows, and long-context reasoning, with high parameter counts (finding_id: c6ba94bc79c0496ea0d124659d245f1b, finding_id: a76cf56083f745999f363245742f74a2).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Kimi K2.6</w:t>
      </w:r>
      <w:r>
        <w:rPr/>
        <w:t xml:space="preserve"> (Moonshot AI) is suitable for agentic coding, UI generation, and long multi-step tasks, though it is not practical for most individual developers (finding_id: 0d964b48e82645debb26d9cbe71781a6, finding_id: 6cdf0553aa4f48c49418a74de153f147).</w:t>
      </w:r>
    </w:p>
    <w:p>
      <w:pPr>
        <w:pStyle w:val="Heading3"/>
        <w:spacing w:lineRule="auto"/>
      </w:pPr>
      <w:r>
        <w:rPr>
          <w:color w:val="4A4266"/>
          <w:sz w:val="25"/>
        </w:rPr>
        <w:t xml:space="preserve">Proportional Evaluation Approaches (PE1–PE4)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PE1</w:t>
      </w:r>
      <w:r>
        <w:rPr/>
        <w:t xml:space="preserve">: Evaluate without system-level safeguards. 38% of 37 OWM families report PE1 compliance (finding_id: 88b6b172b20543c0a7446dad0dac21fc).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PE2</w:t>
      </w:r>
      <w:r>
        <w:rPr/>
        <w:t xml:space="preserve">: Assess robustness to modifications designed to undo model-level safeguards. Only 4 of 37 OWM families (11%) report PE2 implementation (finding_id: ef45be1574de4ebfabce675165fe0162).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PE3</w:t>
      </w:r>
      <w:r>
        <w:rPr/>
        <w:t xml:space="preserve">: Assess selective capability amplification via fine-tuning and tool use. Only 1 of 37 OWM families (3%) — OpenAI’s GPT-OSS — reports PE3 implementation (finding_id: b642f8a37c3e4017b240e16c12c19ada).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PE4</w:t>
      </w:r>
      <w:r>
        <w:rPr/>
        <w:t xml:space="preserve">: Proxy worst-case feasible misuse assuming irreversible release. Only 1 of 37 OWM families (3%) — OpenAI’s GPT-OSS — reports PE4 implementation (finding_id: 23205700925d4a27bff41599abcc9119).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OpenAI’s GPT-OSS</w:t>
      </w:r>
      <w:r>
        <w:rPr/>
        <w:t xml:space="preserve"> is the only OWM family fulfilling all four proportional evaluation approaches (PE1–PE4) (finding_id: 7aae46a340254715832897c9cc7e9ef8).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VB-dXbE0qTtF0z9f-pqy.png" TargetMode="Internal"/>
  <Relationship Id="rId7" Type="http://schemas.openxmlformats.org/officeDocument/2006/relationships/image" Target="media/image-woxtuKuzk6uJXr-3dxaf_.png" TargetMode="Internal"/>
  <Relationship Id="rId8" Type="http://schemas.openxmlformats.org/officeDocument/2006/relationships/image" Target="media/image-LsbmFVnIA0VYceUeAX1gA.png" TargetMode="In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state of open-weight LLMs in 2026</dc:title>
  <dc:subject/>
  <dc:creator>html-to-docx</dc:creator>
  <cp:keywords>html-to-docx</cp:keywords>
  <dc:description/>
  <cp:lastModifiedBy>html-to-docx</cp:lastModifiedBy>
  <cp:revision>1</cp:revision>
  <dcterms:created xsi:type="dcterms:W3CDTF">2026-06-28T02:16:44.376Z</dcterms:created>
  <dcterms:modified xsi:type="dcterms:W3CDTF">2026-06-28T02:16:44.376Z</dcterms:modified>
</cp:coreProperties>
</file>