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pPr>
      <w:r>
        <w:rPr>
          <w:rFonts w:ascii="Arial" w:cs="Arial" w:eastAsia="Arial" w:hAnsi="Arial"/>
          <w:b/>
          <w:bCs/>
          <w:color w:val="2D6A4F"/>
          <w:sz w:val="52"/>
          <w:szCs w:val="52"/>
        </w:rPr>
        <w:t xml:space="preserve">NOOM SUPPLEMENT LINE</w:t>
      </w:r>
    </w:p>
    <w:p>
      <w:pPr>
        <w:spacing w:after="60"/>
      </w:pPr>
      <w:r>
        <w:rPr>
          <w:rFonts w:ascii="Arial" w:cs="Arial" w:eastAsia="Arial" w:hAnsi="Arial"/>
          <w:b/>
          <w:bCs/>
          <w:color w:val="2D3142"/>
          <w:sz w:val="52"/>
          <w:szCs w:val="52"/>
        </w:rPr>
        <w:t xml:space="preserve">LAUNCH PLAYBOOK</w:t>
      </w:r>
    </w:p>
    <w:p>
      <w:pPr>
        <w:pBdr>
          <w:bottom w:val="single" w:color="2D6A4F" w:sz="6" w:space="1"/>
        </w:pBdr>
        <w:spacing w:after="80"/>
      </w:pPr>
      <w:r>
        <w:rPr>
          <w:rFonts w:ascii="Arial" w:cs="Arial" w:eastAsia="Arial" w:hAnsi="Arial"/>
          <w:i/>
          <w:iCs/>
          <w:color w:val="6B7280"/>
          <w:sz w:val="22"/>
          <w:szCs w:val="22"/>
        </w:rPr>
        <w:t xml:space="preserve">Timelines derived from Vitaquest manufacturer workback  |  All 4 SKUs  |  April 14, 2026</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D3142"/>
                <w:sz w:val="20"/>
                <w:szCs w:val="20"/>
              </w:rPr>
              <w:t xml:space="preserve">CMO: Vitaquest</w:t>
            </w:r>
          </w:p>
        </w:tc>
        <w:tc>
          <w:tcPr>
            <w:tcW w:type="dxa" w:w="2340"/>
            <w:gridSpan w:val="1"/>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D3142"/>
                <w:sz w:val="20"/>
                <w:szCs w:val="20"/>
              </w:rPr>
              <w:t xml:space="preserve">3PL: Contracted</w:t>
            </w:r>
          </w:p>
        </w:tc>
        <w:tc>
          <w:tcPr>
            <w:tcW w:type="dxa" w:w="2340"/>
            <w:gridSpan w:val="1"/>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D3142"/>
                <w:sz w:val="20"/>
                <w:szCs w:val="20"/>
              </w:rPr>
              <w:t xml:space="preserve">Mfg Lead Time: 8 wks (fixed)</w:t>
            </w:r>
          </w:p>
        </w:tc>
        <w:tc>
          <w:tcPr>
            <w:tcW w:type="dxa" w:w="2340"/>
            <w:gridSpan w:val="1"/>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D3142"/>
                <w:sz w:val="20"/>
                <w:szCs w:val="20"/>
              </w:rPr>
              <w:t xml:space="preserve">3PL Lead Time: ~1 wk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
              <w:bottom w:val="single" w:color="2D6A4F" w:sz="1"/>
              <w:right w:val="single" w:color="2D6A4F" w:sz="1"/>
            </w:tcBorders>
            <w:shd w:fill="D8F3DC" w:val="clear"/>
            <w:tcMar>
              <w:top w:type="dxa" w:w="120"/>
              <w:left w:type="dxa" w:w="240"/>
              <w:bottom w:type="dxa" w:w="120"/>
              <w:right w:type="dxa" w:w="240"/>
            </w:tcMar>
          </w:tcPr>
          <w:p>
            <w:r>
              <w:rPr>
                <w:rFonts w:ascii="Arial" w:cs="Arial" w:eastAsia="Arial" w:hAnsi="Arial"/>
                <w:b/>
                <w:bCs/>
                <w:color w:val="2D6A4F"/>
                <w:sz w:val="20"/>
                <w:szCs w:val="20"/>
              </w:rPr>
              <w:t xml:space="preserve">Metabolic target launch: June 2, 2026. All workstreams are tracking to this date.</w:t>
            </w:r>
          </w:p>
        </w:tc>
      </w:tr>
    </w:tbl>
    <w:p>
      <w:pPr>
        <w:spacing w:after="80"/>
      </w:pPr>
    </w:p>
    <w:p>
      <w:pPr>
        <w:pBdr>
          <w:bottom w:val="single" w:color="2D6A4F" w:sz="4" w:space="1"/>
        </w:pBdr>
        <w:spacing w:after="160" w:before="160"/>
      </w:pPr>
    </w:p>
    <w:p>
      <w:pPr>
        <w:pStyle w:val="Heading1"/>
        <w:pageBreakBefore/>
        <w:spacing w:after="120" w:before="280"/>
      </w:pPr>
      <w:r>
        <w:rPr>
          <w:rFonts w:ascii="Arial" w:cs="Arial" w:eastAsia="Arial" w:hAnsi="Arial"/>
          <w:b/>
          <w:bCs/>
          <w:color w:val="2D6A4F"/>
          <w:sz w:val="32"/>
          <w:szCs w:val="32"/>
        </w:rPr>
        <w:t xml:space="preserve">1. Date Governance &amp; Accountability</w:t>
      </w:r>
    </w:p>
    <w:p>
      <w:pPr>
        <w:spacing w:after="100"/>
      </w:pPr>
      <w:r>
        <w:rPr>
          <w:rFonts w:ascii="Arial" w:cs="Arial" w:eastAsia="Arial" w:hAnsi="Arial"/>
          <w:b w:val="false"/>
          <w:bCs w:val="false"/>
          <w:i w:val="false"/>
          <w:iCs w:val="false"/>
          <w:color w:val="2D3142"/>
          <w:sz w:val="20"/>
          <w:szCs w:val="20"/>
        </w:rPr>
        <w:t xml:space="preserve">The timelines in this playbook are derived from the Vitaquest manufacturer workback. They are not estimates — they are calculations based on fixed lead times that flow directly from our manufacturing partner constraints. Every milestone is downstream of a hard dependency that cannot be compressed.</w:t>
      </w:r>
    </w:p>
    <w:p>
      <w:pPr>
        <w:spacing w:after="60"/>
      </w:pPr>
    </w:p>
    <w:p>
      <w:pPr>
        <w:spacing w:after="100"/>
      </w:pPr>
      <w:r>
        <w:rPr>
          <w:rFonts w:ascii="Arial" w:cs="Arial" w:eastAsia="Arial" w:hAnsi="Arial"/>
          <w:b w:val="false"/>
          <w:bCs w:val="false"/>
          <w:i w:val="false"/>
          <w:iCs w:val="false"/>
          <w:color w:val="2D3142"/>
          <w:sz w:val="20"/>
          <w:szCs w:val="20"/>
        </w:rPr>
        <w:t xml:space="preserve">Maintaining these dates requires clear ownership and early escalation. When one workstream slips without immediate escalation, the downstream impact is unavoidable. The goal of this playbook is to ensure every team has visibility into their critical dates and a clear owner for each deliverable.</w:t>
      </w:r>
    </w:p>
    <w:p>
      <w:pPr>
        <w:spacing w:after="60"/>
      </w:pPr>
    </w:p>
    <w:p>
      <w:pPr>
        <w:pStyle w:val="Heading2"/>
        <w:spacing w:after="80" w:before="200"/>
      </w:pPr>
      <w:r>
        <w:rPr>
          <w:rFonts w:ascii="Arial" w:cs="Arial" w:eastAsia="Arial" w:hAnsi="Arial"/>
          <w:b/>
          <w:bCs/>
          <w:color w:val="2D3142"/>
          <w:sz w:val="26"/>
          <w:szCs w:val="26"/>
        </w:rPr>
        <w:t xml:space="preserve">Guiding Principles</w:t>
      </w:r>
    </w:p>
    <w:p>
      <w:pPr>
        <w:pStyle w:val="ListParagraph"/>
        <w:numPr>
          <w:ilvl w:val="0"/>
          <w:numId w:val="2"/>
        </w:numPr>
        <w:spacing w:after="60"/>
      </w:pPr>
      <w:r>
        <w:rPr>
          <w:rFonts w:ascii="Arial" w:cs="Arial" w:eastAsia="Arial" w:hAnsi="Arial"/>
          <w:color w:val="2D3142"/>
          <w:sz w:val="20"/>
          <w:szCs w:val="20"/>
        </w:rPr>
        <w:t xml:space="preserve">Each deliverable has a named owner. Dates are commitments, not targets — any anticipated slip should be communicated to the project lead as soon as it is identified.</w:t>
      </w:r>
    </w:p>
    <w:p>
      <w:pPr>
        <w:pStyle w:val="ListParagraph"/>
        <w:numPr>
          <w:ilvl w:val="0"/>
          <w:numId w:val="2"/>
        </w:numPr>
        <w:spacing w:after="60"/>
      </w:pPr>
      <w:r>
        <w:rPr>
          <w:rFonts w:ascii="Arial" w:cs="Arial" w:eastAsia="Arial" w:hAnsi="Arial"/>
          <w:color w:val="2D3142"/>
          <w:sz w:val="20"/>
          <w:szCs w:val="20"/>
        </w:rPr>
        <w:t xml:space="preserve">Risk should be surfaced proactively. If a milestone is at risk, please flag it immediately rather than waiting for the next scheduled review.</w:t>
      </w:r>
    </w:p>
    <w:p>
      <w:pPr>
        <w:pStyle w:val="ListParagraph"/>
        <w:numPr>
          <w:ilvl w:val="0"/>
          <w:numId w:val="2"/>
        </w:numPr>
        <w:spacing w:after="60"/>
      </w:pPr>
      <w:r>
        <w:rPr>
          <w:rFonts w:ascii="Arial" w:cs="Arial" w:eastAsia="Arial" w:hAnsi="Arial"/>
          <w:color w:val="2D3142"/>
          <w:sz w:val="20"/>
          <w:szCs w:val="20"/>
        </w:rPr>
        <w:t xml:space="preserve">Missed milestones require a documented root cause and recovery plan within 24 hours of identification.</w:t>
      </w:r>
    </w:p>
    <w:p>
      <w:pPr>
        <w:pStyle w:val="ListParagraph"/>
        <w:numPr>
          <w:ilvl w:val="0"/>
          <w:numId w:val="2"/>
        </w:numPr>
        <w:spacing w:after="60"/>
      </w:pPr>
      <w:r>
        <w:rPr>
          <w:rFonts w:ascii="Arial" w:cs="Arial" w:eastAsia="Arial" w:hAnsi="Arial"/>
          <w:color w:val="2D3142"/>
          <w:sz w:val="20"/>
          <w:szCs w:val="20"/>
        </w:rPr>
        <w:t xml:space="preserve">The project lead will notify leadership of any missed milestone within 48 hours.</w:t>
      </w:r>
    </w:p>
    <w:p>
      <w:pPr>
        <w:pStyle w:val="ListParagraph"/>
        <w:numPr>
          <w:ilvl w:val="0"/>
          <w:numId w:val="2"/>
        </w:numPr>
        <w:spacing w:after="60"/>
      </w:pPr>
      <w:r>
        <w:rPr>
          <w:rFonts w:ascii="Arial" w:cs="Arial" w:eastAsia="Arial" w:hAnsi="Arial"/>
          <w:color w:val="2D3142"/>
          <w:sz w:val="20"/>
          <w:szCs w:val="20"/>
        </w:rPr>
        <w:t xml:space="preserve">Ownership for each activity is defined in the RACI (Section 5). One Accountable owner is designated per activity.</w:t>
      </w:r>
    </w:p>
    <w:p>
      <w:pPr>
        <w:spacing w:after="120"/>
      </w:pPr>
    </w:p>
    <w:p>
      <w:pPr>
        <w:pBdr>
          <w:bottom w:val="single" w:color="95D5B2" w:sz="4" w:space="1"/>
        </w:pBdr>
        <w:spacing w:after="160" w:before="160"/>
      </w:pPr>
    </w:p>
    <w:p>
      <w:pPr>
        <w:pStyle w:val="Heading1"/>
        <w:pageBreakBefore/>
        <w:spacing w:after="120" w:before="280"/>
      </w:pPr>
      <w:r>
        <w:rPr>
          <w:rFonts w:ascii="Arial" w:cs="Arial" w:eastAsia="Arial" w:hAnsi="Arial"/>
          <w:b/>
          <w:bCs/>
          <w:color w:val="2D6A4F"/>
          <w:sz w:val="32"/>
          <w:szCs w:val="32"/>
        </w:rPr>
        <w:t xml:space="preserve">2. Non-Negotiable Manufacturer Constraints</w:t>
      </w:r>
    </w:p>
    <w:p>
      <w:pPr>
        <w:spacing w:after="100"/>
      </w:pPr>
      <w:r>
        <w:rPr>
          <w:rFonts w:ascii="Arial" w:cs="Arial" w:eastAsia="Arial" w:hAnsi="Arial"/>
          <w:b w:val="false"/>
          <w:bCs w:val="false"/>
          <w:i w:val="false"/>
          <w:iCs w:val="false"/>
          <w:color w:val="2D3142"/>
          <w:sz w:val="20"/>
          <w:szCs w:val="20"/>
        </w:rPr>
        <w:t xml:space="preserve">These lead times are fixed. They come directly from Vitaquest and our packaging supplier. Every launch timeline must be built around these numbers — not the other way around.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Fixed Lead Time</w:t>
            </w:r>
          </w:p>
        </w:tc>
        <w:tc>
          <w:tcPr>
            <w:tcW w:type="dxa" w:w="160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Duration</w:t>
            </w:r>
          </w:p>
        </w:tc>
        <w:tc>
          <w:tcPr>
            <w:tcW w:type="dxa" w:w="456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Notes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D6A4F"/>
                <w:sz w:val="20"/>
                <w:szCs w:val="20"/>
              </w:rPr>
              <w:t xml:space="preserve">Vitaquest Manufacturing</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20"/>
                <w:szCs w:val="20"/>
              </w:rPr>
              <w:t xml:space="preserve">8 weeks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Cannot be compressed. Starts when all packaging materials are on-site at Vitaquest.</w:t>
            </w:r>
          </w:p>
        </w:tc>
      </w:tr>
      <w:tr>
        <w:tc>
          <w:tcPr>
            <w:tcW w:type="dxa" w:w="3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2D6A4F"/>
                <w:sz w:val="20"/>
                <w:szCs w:val="20"/>
              </w:rPr>
              <w:t xml:space="preserve">Packaging — Gusset Bags</w:t>
            </w:r>
          </w:p>
        </w:tc>
        <w:tc>
          <w:tcPr>
            <w:tcW w:type="dxa" w:w="16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20"/>
                <w:szCs w:val="20"/>
              </w:rPr>
              <w:t xml:space="preserve">5 weeks</w:t>
            </w:r>
          </w:p>
        </w:tc>
        <w:tc>
          <w:tcPr>
            <w:tcW w:type="dxa" w:w="456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Must be complete and at Vitaquest BEFORE manufacturing starts.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D6A4F"/>
                <w:sz w:val="20"/>
                <w:szCs w:val="20"/>
              </w:rPr>
              <w:t xml:space="preserve">Packaging — Shrink Wrap</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20"/>
                <w:szCs w:val="20"/>
              </w:rPr>
              <w:t xml:space="preserve">4 weeks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Must be complete and at Vitaquest BEFORE manufacturing starts.</w:t>
            </w:r>
          </w:p>
        </w:tc>
      </w:tr>
      <w:tr>
        <w:tc>
          <w:tcPr>
            <w:tcW w:type="dxa" w:w="3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2D6A4F"/>
                <w:sz w:val="20"/>
                <w:szCs w:val="20"/>
              </w:rPr>
              <w:t xml:space="preserve">3PL Receiving &amp; Launch Readiness</w:t>
            </w:r>
          </w:p>
        </w:tc>
        <w:tc>
          <w:tcPr>
            <w:tcW w:type="dxa" w:w="16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D3142"/>
                <w:sz w:val="20"/>
                <w:szCs w:val="20"/>
              </w:rPr>
              <w:t xml:space="preserve">~1 week</w:t>
            </w:r>
          </w:p>
        </w:tc>
        <w:tc>
          <w:tcPr>
            <w:tcW w:type="dxa" w:w="456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Item setup must be submitted to 3PL before inventory arrives.</w:t>
            </w:r>
          </w:p>
        </w:tc>
      </w:tr>
      <w:tr>
        <w:tc>
          <w:tcPr>
            <w:tcW w:type="dxa" w:w="9360"/>
            <w:gridSpan w:val="3"/>
            <w:tcBorders>
              <w:top w:val="single" w:color="CCCCCC" w:sz="1"/>
              <w:left w:val="single" w:color="CCCCCC" w:sz="1"/>
              <w:bottom w:val="single" w:color="CCCCCC" w:sz="1"/>
              <w:right w:val="single" w:color="CCCCCC" w:sz="1"/>
            </w:tcBorders>
            <w:shd w:fill="2D3142" w:val="clear"/>
            <w:tcMar>
              <w:top w:type="dxa" w:w="60"/>
              <w:left w:type="dxa" w:w="120"/>
              <w:bottom w:type="dxa" w:w="60"/>
              <w:right w:type="dxa" w:w="120"/>
            </w:tcMar>
          </w:tcPr>
          <w:p>
            <w:r>
              <w:rPr>
                <w:rFonts w:ascii="Arial" w:cs="Arial" w:eastAsia="Arial" w:hAnsi="Arial"/>
                <w:b/>
                <w:bCs/>
                <w:color w:val="FFFFFF"/>
                <w:sz w:val="18"/>
                <w:szCs w:val="18"/>
              </w:rPr>
              <w:t xml:space="preserve">GATING WORK (Artwork &amp; Label Approval) — Must complete before packaging production begins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Design direction approved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Variable</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Blocks design execution. Single owner required.</w:t>
            </w:r>
          </w:p>
        </w:tc>
      </w:tr>
      <w:tr>
        <w:tc>
          <w:tcPr>
            <w:tcW w:type="dxa" w:w="3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Design execution completed</w:t>
            </w:r>
          </w:p>
        </w:tc>
        <w:tc>
          <w:tcPr>
            <w:tcW w:type="dxa" w:w="16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Variable</w:t>
            </w:r>
          </w:p>
        </w:tc>
        <w:tc>
          <w:tcPr>
            <w:tcW w:type="dxa" w:w="456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Full artwork and label design complete.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Internal legal review of claims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Variable</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Must precede Vitaquest label review.</w:t>
            </w:r>
          </w:p>
        </w:tc>
      </w:tr>
      <w:tr>
        <w:tc>
          <w:tcPr>
            <w:tcW w:type="dxa" w:w="3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Vitaquest label review &amp; approval</w:t>
            </w:r>
          </w:p>
        </w:tc>
        <w:tc>
          <w:tcPr>
            <w:tcW w:type="dxa" w:w="16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Variable</w:t>
            </w:r>
          </w:p>
        </w:tc>
        <w:tc>
          <w:tcPr>
            <w:tcW w:type="dxa" w:w="456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Vitaquest must approve label before print files go to packaging supplier.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D3142"/>
                <w:sz w:val="20"/>
                <w:szCs w:val="20"/>
              </w:rPr>
              <w:t xml:space="preserve">Print-ready artwork delivered to printer</w:t>
            </w:r>
          </w:p>
        </w:tc>
        <w:tc>
          <w:tcPr>
            <w:tcW w:type="dxa" w:w="1600"/>
            <w:gridSpan w:val="1"/>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i w:val="false"/>
                <w:iCs w:val="false"/>
                <w:color w:val="C0392B"/>
                <w:sz w:val="15"/>
                <w:szCs w:val="15"/>
              </w:rPr>
              <w:t xml:space="preserve">GATES PACKAGING</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Hard gate. Packaging production clock starts only when print-ready files are in the printer's hands.</w:t>
            </w:r>
          </w:p>
        </w:tc>
      </w:tr>
    </w:tbl>
    <w:p>
      <w:pPr>
        <w:spacing w:after="100"/>
      </w:pPr>
    </w:p>
    <w:p>
      <w:pPr>
        <w:spacing w:after="100"/>
      </w:pPr>
      <w:r>
        <w:rPr>
          <w:rFonts w:ascii="Arial" w:cs="Arial" w:eastAsia="Arial" w:hAnsi="Arial"/>
          <w:b w:val="false"/>
          <w:bCs w:val="false"/>
          <w:i/>
          <w:iCs/>
          <w:color w:val="6B7280"/>
          <w:sz w:val="18"/>
          <w:szCs w:val="18"/>
        </w:rPr>
        <w:t xml:space="preserve">Source: Noom Supplement Manufacturer Workback. Plan design + approvals at 4-6 weeks minimum to provide a safe buffer before the packaging gate.</w:t>
      </w:r>
    </w:p>
    <w:p>
      <w:pPr>
        <w:spacing w:after="120"/>
      </w:pPr>
    </w:p>
    <w:p>
      <w:pPr>
        <w:pBdr>
          <w:bottom w:val="single" w:color="95D5B2" w:sz="4" w:space="1"/>
        </w:pBdr>
        <w:spacing w:after="160" w:before="160"/>
      </w:pPr>
    </w:p>
    <w:p>
      <w:pPr>
        <w:pStyle w:val="Heading1"/>
        <w:pageBreakBefore/>
        <w:spacing w:after="120" w:before="280"/>
      </w:pPr>
      <w:r>
        <w:rPr>
          <w:rFonts w:ascii="Arial" w:cs="Arial" w:eastAsia="Arial" w:hAnsi="Arial"/>
          <w:b/>
          <w:bCs/>
          <w:color w:val="2D6A4F"/>
          <w:sz w:val="32"/>
          <w:szCs w:val="32"/>
        </w:rPr>
        <w:t xml:space="preserve">3. Workback Calculator</w:t>
      </w:r>
    </w:p>
    <w:p>
      <w:pPr>
        <w:spacing w:after="100"/>
      </w:pPr>
      <w:r>
        <w:rPr>
          <w:rFonts w:ascii="Arial" w:cs="Arial" w:eastAsia="Arial" w:hAnsi="Arial"/>
          <w:b w:val="false"/>
          <w:bCs w:val="false"/>
          <w:i w:val="false"/>
          <w:iCs w:val="false"/>
          <w:color w:val="2D3142"/>
          <w:sz w:val="20"/>
          <w:szCs w:val="20"/>
        </w:rPr>
        <w:t xml:space="preserve">To generate workback dates for any SKU — including artwork deadlines, packaging production windows, manufacturing start, and 3PL delivery — use the Supplement / Skincare Workback Calculator.</w:t>
      </w:r>
    </w:p>
    <w:p>
      <w:pPr>
        <w:spacing w:after="60"/>
      </w:pPr>
    </w:p>
    <w:p>
      <w:pPr>
        <w:spacing w:after="100"/>
      </w:pPr>
      <w:r>
        <w:rPr>
          <w:rFonts w:ascii="Arial" w:cs="Arial" w:eastAsia="Arial" w:hAnsi="Arial"/>
          <w:b w:val="false"/>
          <w:bCs w:val="false"/>
          <w:i w:val="false"/>
          <w:iCs w:val="false"/>
          <w:color w:val="2D3142"/>
          <w:sz w:val="20"/>
          <w:szCs w:val="20"/>
        </w:rPr>
        <w:t xml:space="preserve">The calculator is available in the Supplement Project folder: Supplement / Skincare Workback Calculator.html. Open it in any web browser. Select your packaging components, enter a target launch date, and the tool calculates the full timeline including critical path, Gantt chart, and any overdue milestones.</w:t>
      </w:r>
    </w:p>
    <w:p>
      <w:pPr>
        <w:spacing w:after="60"/>
      </w:pPr>
    </w:p>
    <w:p>
      <w:pPr>
        <w:spacing w:after="100"/>
      </w:pPr>
      <w:r>
        <w:rPr>
          <w:rFonts w:ascii="Arial" w:cs="Arial" w:eastAsia="Arial" w:hAnsi="Arial"/>
          <w:b/>
          <w:bCs/>
          <w:i w:val="false"/>
          <w:iCs w:val="false"/>
          <w:color w:val="2D3142"/>
          <w:sz w:val="20"/>
          <w:szCs w:val="20"/>
        </w:rPr>
        <w:t xml:space="preserve">Fixed lead times built into the calculator:</w:t>
      </w:r>
    </w:p>
    <w:p>
      <w:pPr>
        <w:pStyle w:val="ListParagraph"/>
        <w:numPr>
          <w:ilvl w:val="0"/>
          <w:numId w:val="2"/>
        </w:numPr>
        <w:spacing w:after="60"/>
      </w:pPr>
      <w:r>
        <w:rPr>
          <w:rFonts w:ascii="Arial" w:cs="Arial" w:eastAsia="Arial" w:hAnsi="Arial"/>
          <w:color w:val="2D3142"/>
          <w:sz w:val="20"/>
          <w:szCs w:val="20"/>
        </w:rPr>
        <w:t xml:space="preserve">Gusset Bag: 5 weeks (Stephen Gould → Vitaquest)</w:t>
      </w:r>
    </w:p>
    <w:p>
      <w:pPr>
        <w:pStyle w:val="ListParagraph"/>
        <w:numPr>
          <w:ilvl w:val="0"/>
          <w:numId w:val="2"/>
        </w:numPr>
        <w:spacing w:after="60"/>
      </w:pPr>
      <w:r>
        <w:rPr>
          <w:rFonts w:ascii="Arial" w:cs="Arial" w:eastAsia="Arial" w:hAnsi="Arial"/>
          <w:color w:val="2D3142"/>
          <w:sz w:val="20"/>
          <w:szCs w:val="20"/>
        </w:rPr>
        <w:t xml:space="preserve">Shrink Wrap: 4 weeks (Stephen Gould → Vitaquest)</w:t>
      </w:r>
    </w:p>
    <w:p>
      <w:pPr>
        <w:pStyle w:val="ListParagraph"/>
        <w:numPr>
          <w:ilvl w:val="0"/>
          <w:numId w:val="2"/>
        </w:numPr>
        <w:spacing w:after="60"/>
      </w:pPr>
      <w:r>
        <w:rPr>
          <w:rFonts w:ascii="Arial" w:cs="Arial" w:eastAsia="Arial" w:hAnsi="Arial"/>
          <w:color w:val="2D3142"/>
          <w:sz w:val="20"/>
          <w:szCs w:val="20"/>
        </w:rPr>
        <w:t xml:space="preserve">Corrugate Outer Shipper: 4 weeks (→ The Pharmacy Hub, 1 week before launch)</w:t>
      </w:r>
    </w:p>
    <w:p>
      <w:pPr>
        <w:pStyle w:val="ListParagraph"/>
        <w:numPr>
          <w:ilvl w:val="0"/>
          <w:numId w:val="2"/>
        </w:numPr>
        <w:spacing w:after="60"/>
      </w:pPr>
      <w:r>
        <w:rPr>
          <w:rFonts w:ascii="Arial" w:cs="Arial" w:eastAsia="Arial" w:hAnsi="Arial"/>
          <w:color w:val="2D3142"/>
          <w:sz w:val="20"/>
          <w:szCs w:val="20"/>
        </w:rPr>
        <w:t xml:space="preserve">Marketing Postcard: 2 weeks (→ The Pharmacy Hub)</w:t>
      </w:r>
    </w:p>
    <w:p>
      <w:pPr>
        <w:pStyle w:val="ListParagraph"/>
        <w:numPr>
          <w:ilvl w:val="0"/>
          <w:numId w:val="2"/>
        </w:numPr>
        <w:spacing w:after="60"/>
      </w:pPr>
      <w:r>
        <w:rPr>
          <w:rFonts w:ascii="Arial" w:cs="Arial" w:eastAsia="Arial" w:hAnsi="Arial"/>
          <w:color w:val="2D3142"/>
          <w:sz w:val="20"/>
          <w:szCs w:val="20"/>
        </w:rPr>
        <w:t xml:space="preserve">Marketing Booklet: 4 weeks (→ The Pharmacy Hub)</w:t>
      </w:r>
    </w:p>
    <w:p>
      <w:pPr>
        <w:pStyle w:val="ListParagraph"/>
        <w:numPr>
          <w:ilvl w:val="0"/>
          <w:numId w:val="2"/>
        </w:numPr>
        <w:spacing w:after="60"/>
      </w:pPr>
      <w:r>
        <w:rPr>
          <w:rFonts w:ascii="Arial" w:cs="Arial" w:eastAsia="Arial" w:hAnsi="Arial"/>
          <w:color w:val="2D3142"/>
          <w:sz w:val="20"/>
          <w:szCs w:val="20"/>
        </w:rPr>
        <w:t xml:space="preserve">Supplement Manufacturing: 6–8 weeks, Vitaquest (concurrent with packaging production)</w:t>
      </w:r>
    </w:p>
    <w:p>
      <w:pPr>
        <w:pStyle w:val="ListParagraph"/>
        <w:numPr>
          <w:ilvl w:val="0"/>
          <w:numId w:val="2"/>
        </w:numPr>
        <w:spacing w:after="60"/>
      </w:pPr>
      <w:r>
        <w:rPr>
          <w:rFonts w:ascii="Arial" w:cs="Arial" w:eastAsia="Arial" w:hAnsi="Arial"/>
          <w:color w:val="2D3142"/>
          <w:sz w:val="20"/>
          <w:szCs w:val="20"/>
        </w:rPr>
        <w:t xml:space="preserve">Pre-bottling testing: 1 week required (+ 2 weeks optional external lab)</w:t>
      </w:r>
    </w:p>
    <w:p>
      <w:pPr>
        <w:pStyle w:val="ListParagraph"/>
        <w:numPr>
          <w:ilvl w:val="0"/>
          <w:numId w:val="2"/>
        </w:numPr>
        <w:spacing w:after="60"/>
      </w:pPr>
      <w:r>
        <w:rPr>
          <w:rFonts w:ascii="Arial" w:cs="Arial" w:eastAsia="Arial" w:hAnsi="Arial"/>
          <w:color w:val="2D3142"/>
          <w:sz w:val="20"/>
          <w:szCs w:val="20"/>
        </w:rPr>
        <w:t xml:space="preserve">In-bottle testing: 1 week required (+ 2 weeks optional external lab)</w:t>
      </w:r>
    </w:p>
    <w:p>
      <w:pPr>
        <w:spacing w:after="120"/>
      </w:pPr>
    </w:p>
    <w:p>
      <w:pPr>
        <w:pBdr>
          <w:bottom w:val="single" w:color="95D5B2" w:sz="4" w:space="1"/>
        </w:pBdr>
        <w:spacing w:after="160" w:before="160"/>
      </w:pPr>
    </w:p>
    <w:p>
      <w:pPr>
        <w:pStyle w:val="Heading1"/>
        <w:pageBreakBefore/>
        <w:spacing w:after="120" w:before="280"/>
      </w:pPr>
      <w:r>
        <w:rPr>
          <w:rFonts w:ascii="Arial" w:cs="Arial" w:eastAsia="Arial" w:hAnsi="Arial"/>
          <w:b/>
          <w:bCs/>
          <w:color w:val="2D6A4F"/>
          <w:sz w:val="32"/>
          <w:szCs w:val="32"/>
        </w:rPr>
        <w:t xml:space="preserve">4. Metabolic — Detailed Workback &amp; Current Status</w:t>
      </w:r>
    </w:p>
    <w:p>
      <w:pPr>
        <w:spacing w:after="100"/>
      </w:pPr>
      <w:r>
        <w:rPr>
          <w:rFonts w:ascii="Arial" w:cs="Arial" w:eastAsia="Arial" w:hAnsi="Arial"/>
          <w:b w:val="false"/>
          <w:bCs w:val="false"/>
          <w:i w:val="false"/>
          <w:iCs w:val="false"/>
          <w:color w:val="2D3142"/>
          <w:sz w:val="20"/>
          <w:szCs w:val="20"/>
        </w:rPr>
        <w:t xml:space="preserve">Metabolic uses gusset bag packaging manufactured by Stephen Gould. Bags have been confirmed with Stephen Gould, with delivery to Vitaquest expected May 5. Vitaquest manufacturing (5–6 weeks) is running concurrently. Fill/seal into bags occurs once packaging arrives on May 5, with combined completion expected around May 8–10. Product ships to The Pharmacy Hub and is expected to arrive by approximately May 19. The June 2 launch date is on track. The remaining open workstream is commercial readiness.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
              <w:left w:val="single" w:color="2D6A4F" w:sz="1"/>
              <w:bottom w:val="single" w:color="2D6A4F" w:sz="1"/>
              <w:right w:val="single" w:color="2D6A4F" w:sz="1"/>
            </w:tcBorders>
            <w:shd w:fill="D8F3DC" w:val="clear"/>
            <w:tcMar>
              <w:top w:type="dxa" w:w="120"/>
              <w:left w:type="dxa" w:w="240"/>
              <w:bottom w:type="dxa" w:w="120"/>
              <w:right w:type="dxa" w:w="240"/>
            </w:tcMar>
          </w:tcPr>
          <w:p>
            <w:r>
              <w:rPr>
                <w:rFonts w:ascii="Arial" w:cs="Arial" w:eastAsia="Arial" w:hAnsi="Arial"/>
                <w:b/>
                <w:bCs/>
                <w:color w:val="2D6A4F"/>
                <w:sz w:val="20"/>
                <w:szCs w:val="20"/>
              </w:rPr>
              <w:t xml:space="preserve">Manufacturing and packaging production are running in parallel. Product complete ~May 8-10, at 3PL by ~May 19. June 2 is viable — commercial readiness (pricing, channel setup, demand plan) is the only open workstream. It starts now.</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60"/>
        <w:gridCol w:w="1200"/>
        <w:gridCol w:w="3200"/>
      </w:tblGrid>
      <w:tr>
        <w:trPr>
          <w:tblHeader/>
        </w:trPr>
        <w:tc>
          <w:tcPr>
            <w:tcW w:type="dxa" w:w="120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Status</w:t>
            </w:r>
          </w:p>
        </w:tc>
        <w:tc>
          <w:tcPr>
            <w:tcW w:type="dxa" w:w="220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156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Dates</w:t>
            </w:r>
          </w:p>
        </w:tc>
        <w:tc>
          <w:tcPr>
            <w:tcW w:type="dxa" w:w="120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Lead Time</w:t>
            </w:r>
          </w:p>
        </w:tc>
        <w:tc>
          <w:tcPr>
            <w:tcW w:type="dxa" w:w="320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Key Deliverables</w:t>
            </w:r>
          </w:p>
        </w:tc>
      </w:tr>
      <w:tr>
        <w:tc>
          <w:tcPr>
            <w:tcW w:type="dxa" w:w="1200"/>
            <w:gridSpan w:val="1"/>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16"/>
                <w:szCs w:val="16"/>
              </w:rPr>
              <w:t xml:space="preserve">COMPLETE</w:t>
            </w:r>
          </w:p>
        </w:tc>
        <w:tc>
          <w:tcPr>
            <w:tcW w:type="dxa" w:w="2200"/>
            <w:gridSpan w:val="1"/>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i w:val="false"/>
                <w:iCs w:val="false"/>
                <w:color w:val="2D6A4F"/>
                <w:sz w:val="20"/>
                <w:szCs w:val="20"/>
              </w:rPr>
              <w:t xml:space="preserve">Artwork &amp; Label Approval</w:t>
            </w:r>
          </w:p>
        </w:tc>
        <w:tc>
          <w:tcPr>
            <w:tcW w:type="dxa" w:w="1560"/>
            <w:gridSpan w:val="1"/>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Jan - Feb 24</w:t>
            </w:r>
          </w:p>
        </w:tc>
        <w:tc>
          <w:tcPr>
            <w:tcW w:type="dxa" w:w="1200"/>
            <w:gridSpan w:val="1"/>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4-6 weeks</w:t>
            </w:r>
          </w:p>
        </w:tc>
        <w:tc>
          <w:tcPr>
            <w:tcW w:type="dxa" w:w="3200"/>
            <w:gridSpan w:val="1"/>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Design direction, design execution, internal legal review, Vitaquest label review, print-ready artwork delivered to printer</w:t>
            </w:r>
          </w:p>
        </w:tc>
      </w:tr>
      <w:tr>
        <w:tc>
          <w:tcPr>
            <w:tcW w:type="dxa" w:w="1200"/>
            <w:gridSpan w:val="1"/>
            <w:tcBorders>
              <w:top w:val="single" w:color="CCCCCC" w:sz="1"/>
              <w:left w:val="single" w:color="CCCCCC" w:sz="1"/>
              <w:bottom w:val="single" w:color="CCCCCC" w:sz="1"/>
              <w:right w:val="single" w:color="CCCCCC" w:sz="1"/>
            </w:tcBorders>
            <w:shd w:fill="FEF9EC" w:val="clear"/>
            <w:tcMar>
              <w:top w:type="dxa" w:w="80"/>
              <w:left w:type="dxa" w:w="120"/>
              <w:bottom w:type="dxa" w:w="80"/>
              <w:right w:type="dxa" w:w="120"/>
            </w:tcMar>
            <w:vAlign w:val="center"/>
          </w:tcPr>
          <w:p>
            <w:pPr>
              <w:jc w:val="center"/>
            </w:pPr>
            <w:r>
              <w:rPr>
                <w:rFonts w:ascii="Arial" w:cs="Arial" w:eastAsia="Arial" w:hAnsi="Arial"/>
                <w:b/>
                <w:bCs/>
                <w:i w:val="false"/>
                <w:iCs w:val="false"/>
                <w:color w:val="E67E22"/>
                <w:sz w:val="16"/>
                <w:szCs w:val="16"/>
              </w:rPr>
              <w:t xml:space="preserve">IN PROGRESS</w:t>
            </w:r>
          </w:p>
        </w:tc>
        <w:tc>
          <w:tcPr>
            <w:tcW w:type="dxa" w:w="2200"/>
            <w:gridSpan w:val="1"/>
            <w:tcBorders>
              <w:top w:val="single" w:color="CCCCCC" w:sz="1"/>
              <w:left w:val="single" w:color="CCCCCC" w:sz="1"/>
              <w:bottom w:val="single" w:color="CCCCCC" w:sz="1"/>
              <w:right w:val="single" w:color="CCCCCC" w:sz="1"/>
            </w:tcBorders>
            <w:shd w:fill="FEF9EC" w:val="clear"/>
            <w:tcMar>
              <w:top w:type="dxa" w:w="80"/>
              <w:left w:type="dxa" w:w="120"/>
              <w:bottom w:type="dxa" w:w="80"/>
              <w:right w:type="dxa" w:w="120"/>
            </w:tcMar>
            <w:vAlign w:val="center"/>
          </w:tcPr>
          <w:p>
            <w:pPr>
              <w:jc w:val="left"/>
            </w:pPr>
            <w:r>
              <w:rPr>
                <w:rFonts w:ascii="Arial" w:cs="Arial" w:eastAsia="Arial" w:hAnsi="Arial"/>
                <w:b/>
                <w:bCs/>
                <w:i w:val="false"/>
                <w:iCs w:val="false"/>
                <w:color w:val="E67E22"/>
                <w:sz w:val="20"/>
                <w:szCs w:val="20"/>
              </w:rPr>
              <w:t xml:space="preserve">Gusset Bag Production (Stephen Gould) + Vitaquest Mfg (PARALLEL)</w:t>
            </w:r>
          </w:p>
        </w:tc>
        <w:tc>
          <w:tcPr>
            <w:tcW w:type="dxa" w:w="1560"/>
            <w:gridSpan w:val="1"/>
            <w:tcBorders>
              <w:top w:val="single" w:color="CCCCCC" w:sz="1"/>
              <w:left w:val="single" w:color="CCCCCC" w:sz="1"/>
              <w:bottom w:val="single" w:color="CCCCCC" w:sz="1"/>
              <w:right w:val="single" w:color="CCCCCC" w:sz="1"/>
            </w:tcBorders>
            <w:shd w:fill="FEF9EC" w:val="clear"/>
            <w:tcMar>
              <w:top w:type="dxa" w:w="80"/>
              <w:left w:type="dxa" w:w="120"/>
              <w:bottom w:type="dxa" w:w="80"/>
              <w:right w:type="dxa" w:w="120"/>
            </w:tcMar>
            <w:vAlign w:val="center"/>
          </w:tcPr>
          <w:p>
            <w:pPr>
              <w:jc w:val="left"/>
            </w:pPr>
            <w:r>
              <w:rPr>
                <w:rFonts w:ascii="Arial" w:cs="Arial" w:eastAsia="Arial" w:hAnsi="Arial"/>
                <w:b/>
                <w:bCs/>
                <w:i w:val="false"/>
                <w:iCs w:val="false"/>
                <w:color w:val="2D3142"/>
                <w:sz w:val="20"/>
                <w:szCs w:val="20"/>
              </w:rPr>
              <w:t xml:space="preserve">~April 1 - May 8-10</w:t>
            </w:r>
          </w:p>
        </w:tc>
        <w:tc>
          <w:tcPr>
            <w:tcW w:type="dxa" w:w="1200"/>
            <w:gridSpan w:val="1"/>
            <w:tcBorders>
              <w:top w:val="single" w:color="CCCCCC" w:sz="1"/>
              <w:left w:val="single" w:color="CCCCCC" w:sz="1"/>
              <w:bottom w:val="single" w:color="CCCCCC" w:sz="1"/>
              <w:right w:val="single" w:color="CCCCCC" w:sz="1"/>
            </w:tcBorders>
            <w:shd w:fill="FEF9E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2D3142"/>
                <w:sz w:val="16"/>
                <w:szCs w:val="16"/>
              </w:rPr>
              <w:t xml:space="preserve">5-6 wks (concurrent)</w:t>
            </w:r>
          </w:p>
        </w:tc>
        <w:tc>
          <w:tcPr>
            <w:tcW w:type="dxa" w:w="3200"/>
            <w:gridSpan w:val="1"/>
            <w:tcBorders>
              <w:top w:val="single" w:color="CCCCCC" w:sz="1"/>
              <w:left w:val="single" w:color="CCCCCC" w:sz="1"/>
              <w:bottom w:val="single" w:color="CCCCCC" w:sz="1"/>
              <w:right w:val="single" w:color="CCCCCC" w:sz="1"/>
            </w:tcBorders>
            <w:shd w:fill="FEF9E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Gusset bags with Stephen Gould — confirmed delivery to Vitaquest by May 5. Vitaquest manufacturing runs concurrently (5-6 weeks). Final fill/seal into bags occurs when packaging arrives. Both tracks complete ~May 8-10.</w:t>
            </w:r>
          </w:p>
        </w:tc>
      </w:tr>
      <w:tr>
        <w:tc>
          <w:tcPr>
            <w:tcW w:type="dxa" w:w="1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6B7280"/>
                <w:sz w:val="16"/>
                <w:szCs w:val="16"/>
              </w:rPr>
              <w:t xml:space="preserve">UPCOMING</w:t>
            </w:r>
          </w:p>
        </w:tc>
        <w:tc>
          <w:tcPr>
            <w:tcW w:type="dxa" w:w="2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2D3142"/>
                <w:sz w:val="20"/>
                <w:szCs w:val="20"/>
              </w:rPr>
              <w:t xml:space="preserve">3PL Receiving &amp; Readiness</w:t>
            </w:r>
          </w:p>
        </w:tc>
        <w:tc>
          <w:tcPr>
            <w:tcW w:type="dxa" w:w="156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~May 10 - May 19</w:t>
            </w:r>
          </w:p>
        </w:tc>
        <w:tc>
          <w:tcPr>
            <w:tcW w:type="dxa" w:w="1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~1 week</w:t>
            </w:r>
          </w:p>
        </w:tc>
        <w:tc>
          <w:tcPr>
            <w:tcW w:type="dxa" w:w="3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Product received and putaway at DC. Item setup must be submitted to 3PL by April 21 — before inventory ships. Confirm 3PL readiness this week.</w:t>
            </w:r>
          </w:p>
        </w:tc>
      </w:tr>
      <w:tr>
        <w:tc>
          <w:tcPr>
            <w:tcW w:type="dxa" w:w="1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6B7280"/>
                <w:sz w:val="16"/>
                <w:szCs w:val="16"/>
              </w:rPr>
              <w:t xml:space="preserve">UPCOMING</w:t>
            </w:r>
          </w:p>
        </w:tc>
        <w:tc>
          <w:tcPr>
            <w:tcW w:type="dxa" w:w="2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i w:val="false"/>
                <w:iCs w:val="false"/>
                <w:color w:val="1A56DB"/>
                <w:sz w:val="20"/>
                <w:szCs w:val="20"/>
              </w:rPr>
              <w:t xml:space="preserve">Commercial Readiness (parallel)</w:t>
            </w:r>
          </w:p>
        </w:tc>
        <w:tc>
          <w:tcPr>
            <w:tcW w:type="dxa" w:w="156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Apr 14 - May 30</w:t>
            </w:r>
          </w:p>
        </w:tc>
        <w:tc>
          <w:tcPr>
            <w:tcW w:type="dxa" w:w="1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1A56DB"/>
                <w:sz w:val="15"/>
                <w:szCs w:val="15"/>
              </w:rPr>
              <w:t xml:space="preserve">Parallel track</w:t>
            </w:r>
          </w:p>
        </w:tc>
        <w:tc>
          <w:tcPr>
            <w:tcW w:type="dxa" w:w="320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Pricing &amp; margin approved; channel/retailer setup complete; demand plan locked in S&amp;OP; launch campaign assets finalized. Must complete before June 2.</w:t>
            </w:r>
          </w:p>
        </w:tc>
      </w:tr>
      <w:tr>
        <w:tc>
          <w:tcPr>
            <w:tcW w:type="dxa" w:w="1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6B7280"/>
                <w:sz w:val="16"/>
                <w:szCs w:val="16"/>
              </w:rPr>
              <w:t xml:space="preserve">UPCOMING</w:t>
            </w:r>
          </w:p>
        </w:tc>
        <w:tc>
          <w:tcPr>
            <w:tcW w:type="dxa" w:w="2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2D3142"/>
                <w:sz w:val="20"/>
                <w:szCs w:val="20"/>
              </w:rPr>
              <w:t xml:space="preserve">Launch Readiness Gate</w:t>
            </w:r>
          </w:p>
        </w:tc>
        <w:tc>
          <w:tcPr>
            <w:tcW w:type="dxa" w:w="156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2D3142"/>
                <w:sz w:val="20"/>
                <w:szCs w:val="20"/>
              </w:rPr>
              <w:t xml:space="preserve">May 30</w:t>
            </w:r>
          </w:p>
        </w:tc>
        <w:tc>
          <w:tcPr>
            <w:tcW w:type="dxa" w:w="1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1 day</w:t>
            </w:r>
          </w:p>
        </w:tc>
        <w:tc>
          <w:tcPr>
            <w:tcW w:type="dxa" w:w="3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All teams confirm ready. Inventory at DC confirmed. Commercial setup complete. No open blockers. Final go/no-go.</w:t>
            </w:r>
          </w:p>
        </w:tc>
      </w:tr>
      <w:tr>
        <w:tc>
          <w:tcPr>
            <w:tcW w:type="dxa" w:w="1200"/>
            <w:gridSpan w:val="1"/>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LAUNCH</w:t>
            </w:r>
          </w:p>
        </w:tc>
        <w:tc>
          <w:tcPr>
            <w:tcW w:type="dxa" w:w="2200"/>
            <w:gridSpan w:val="1"/>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GO-LIVE — Metabolic</w:t>
            </w:r>
          </w:p>
        </w:tc>
        <w:tc>
          <w:tcPr>
            <w:tcW w:type="dxa" w:w="1560"/>
            <w:gridSpan w:val="1"/>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JUNE 2, 2026</w:t>
            </w:r>
          </w:p>
        </w:tc>
        <w:tc>
          <w:tcPr>
            <w:tcW w:type="dxa" w:w="1200"/>
            <w:gridSpan w:val="1"/>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
            </w:r>
          </w:p>
        </w:tc>
        <w:tc>
          <w:tcPr>
            <w:tcW w:type="dxa" w:w="3200"/>
            <w:gridSpan w:val="1"/>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FFFFFF"/>
                <w:sz w:val="18"/>
                <w:szCs w:val="18"/>
              </w:rPr>
              <w:t xml:space="preserve">All channels live. Day-1 monitoring active. Post-launch review: July 2.</w:t>
            </w:r>
          </w:p>
        </w:tc>
      </w:tr>
    </w:tbl>
    <w:p>
      <w:pPr>
        <w:spacing w:after="120"/>
      </w:pPr>
    </w:p>
    <w:p>
      <w:pPr>
        <w:pBdr>
          <w:bottom w:val="single" w:color="95D5B2" w:sz="4" w:space="1"/>
        </w:pBdr>
        <w:spacing w:after="160" w:before="160"/>
      </w:pPr>
    </w:p>
    <w:p>
      <w:pPr>
        <w:pStyle w:val="Heading1"/>
        <w:pageBreakBefore/>
        <w:spacing w:after="120" w:before="280"/>
      </w:pPr>
      <w:r>
        <w:rPr>
          <w:rFonts w:ascii="Arial" w:cs="Arial" w:eastAsia="Arial" w:hAnsi="Arial"/>
          <w:b/>
          <w:bCs/>
          <w:color w:val="2D6A4F"/>
          <w:sz w:val="32"/>
          <w:szCs w:val="32"/>
        </w:rPr>
        <w:t xml:space="preserve">5. Roles &amp; Responsibilities (RACI)</w:t>
      </w:r>
    </w:p>
    <w:p>
      <w:pPr>
        <w:spacing w:after="100"/>
      </w:pPr>
      <w:r>
        <w:rPr>
          <w:rFonts w:ascii="Arial" w:cs="Arial" w:eastAsia="Arial" w:hAnsi="Arial"/>
          <w:b w:val="false"/>
          <w:bCs w:val="false"/>
          <w:i w:val="false"/>
          <w:iCs w:val="false"/>
          <w:color w:val="2D3142"/>
          <w:sz w:val="20"/>
          <w:szCs w:val="20"/>
        </w:rPr>
        <w:t xml:space="preserve">One Accountable owner is designated per activity. If ownership requires clarification, the project lead will resolve within 24 hours. This RACI applies to each SKU at its respective launch kickoff.</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960"/>
        <w:gridCol w:w="720"/>
        <w:gridCol w:w="3960"/>
      </w:tblGrid>
      <w:tr>
        <w:tc>
          <w:tcPr>
            <w:tcW w:type="dxa" w:w="720"/>
            <w:gridSpan w:val="1"/>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Responsible — does the work</w:t>
            </w:r>
          </w:p>
        </w:tc>
        <w:tc>
          <w:tcPr>
            <w:tcW w:type="dxa" w:w="72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2D3142"/>
                <w:sz w:val="20"/>
                <w:szCs w:val="20"/>
              </w:rPr>
              <w:t xml:space="preserve">A</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Accountable — owns the outcome. One per activity.</w:t>
            </w:r>
          </w:p>
        </w:tc>
      </w:tr>
      <w:tr>
        <w:tc>
          <w:tcPr>
            <w:tcW w:type="dxa" w:w="720"/>
            <w:gridSpan w:val="1"/>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center"/>
            </w:pPr>
            <w:r>
              <w:rPr>
                <w:rFonts w:ascii="Arial" w:cs="Arial" w:eastAsia="Arial" w:hAnsi="Arial"/>
                <w:b/>
                <w:bCs/>
                <w:i w:val="false"/>
                <w:iCs w:val="false"/>
                <w:color w:val="1A56DB"/>
                <w:sz w:val="20"/>
                <w:szCs w:val="20"/>
              </w:rPr>
              <w:t xml:space="preserve">C</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Consulted — input before decision is made</w:t>
            </w:r>
          </w:p>
        </w:tc>
        <w:tc>
          <w:tcPr>
            <w:tcW w:type="dxa" w:w="72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6B7280"/>
                <w:sz w:val="20"/>
                <w:szCs w:val="20"/>
              </w:rPr>
              <w:t xml:space="preserve">I</w:t>
            </w:r>
          </w:p>
        </w:tc>
        <w:tc>
          <w:tcPr>
            <w:tcW w:type="dxa" w:w="3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20"/>
                <w:szCs w:val="20"/>
              </w:rPr>
              <w:t xml:space="preserve">Informed — notified after decision or action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rPr>
          <w:tblHeader/>
        </w:trPr>
        <w:tc>
          <w:tcPr>
            <w:tcW w:type="dxa" w:w="300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Activity</w:t>
            </w:r>
          </w:p>
        </w:tc>
        <w:tc>
          <w:tcPr>
            <w:tcW w:type="dxa" w:w="159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Supply Chain / Ops</w:t>
            </w:r>
          </w:p>
        </w:tc>
        <w:tc>
          <w:tcPr>
            <w:tcW w:type="dxa" w:w="159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Product / R&amp;D</w:t>
            </w:r>
          </w:p>
        </w:tc>
        <w:tc>
          <w:tcPr>
            <w:tcW w:type="dxa" w:w="159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Marketing / Brand</w:t>
            </w:r>
          </w:p>
        </w:tc>
        <w:tc>
          <w:tcPr>
            <w:tcW w:type="dxa" w:w="159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7"/>
                <w:szCs w:val="17"/>
              </w:rPr>
              <w:t xml:space="preserve">Finance / Legal</w:t>
            </w:r>
          </w:p>
        </w:tc>
      </w:tr>
      <w:tr>
        <w:tc>
          <w:tcPr>
            <w:tcW w:type="dxa" w:w="9360"/>
            <w:gridSpan w:val="5"/>
            <w:tcBorders>
              <w:top w:val="single" w:color="CCCCCC" w:sz="1"/>
              <w:left w:val="single" w:color="CCCCCC" w:sz="1"/>
              <w:bottom w:val="single" w:color="CCCCCC" w:sz="1"/>
              <w:right w:val="single" w:color="CCCCCC" w:sz="1"/>
            </w:tcBorders>
            <w:shd w:fill="95D5B2" w:val="clear"/>
            <w:tcMar>
              <w:top w:type="dxa" w:w="60"/>
              <w:left w:type="dxa" w:w="120"/>
              <w:bottom w:type="dxa" w:w="60"/>
              <w:right w:type="dxa" w:w="120"/>
            </w:tcMar>
          </w:tcPr>
          <w:p>
            <w:r>
              <w:rPr>
                <w:rFonts w:ascii="Arial" w:cs="Arial" w:eastAsia="Arial" w:hAnsi="Arial"/>
                <w:b/>
                <w:bCs/>
                <w:color w:val="2D3142"/>
                <w:sz w:val="18"/>
                <w:szCs w:val="18"/>
              </w:rPr>
              <w:t xml:space="preserve">ARTWORK &amp; LABEL APPROVAL (Gating — must complete before packaging begins)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Design direction approval</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3142"/>
                <w:sz w:val="20"/>
                <w:szCs w:val="20"/>
              </w:rPr>
              <w:t xml:space="preserve">A</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30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Design execution</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2D3142"/>
                <w:sz w:val="20"/>
                <w:szCs w:val="20"/>
              </w:rPr>
              <w:t xml:space="preserve">A</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Internal legal review of claims</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3142"/>
                <w:sz w:val="20"/>
                <w:szCs w:val="20"/>
              </w:rPr>
              <w:t xml:space="preserve">A</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w:t>
            </w:r>
          </w:p>
        </w:tc>
      </w:tr>
      <w:tr>
        <w:tc>
          <w:tcPr>
            <w:tcW w:type="dxa" w:w="30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Vitaquest label review coordination</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R/A</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Print-ready artwork delivery</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3142"/>
                <w:sz w:val="20"/>
                <w:szCs w:val="20"/>
              </w:rPr>
              <w:t xml:space="preserve">A</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9360"/>
            <w:gridSpan w:val="5"/>
            <w:tcBorders>
              <w:top w:val="single" w:color="CCCCCC" w:sz="1"/>
              <w:left w:val="single" w:color="CCCCCC" w:sz="1"/>
              <w:bottom w:val="single" w:color="CCCCCC" w:sz="1"/>
              <w:right w:val="single" w:color="CCCCCC" w:sz="1"/>
            </w:tcBorders>
            <w:shd w:fill="95D5B2" w:val="clear"/>
            <w:tcMar>
              <w:top w:type="dxa" w:w="60"/>
              <w:left w:type="dxa" w:w="120"/>
              <w:bottom w:type="dxa" w:w="60"/>
              <w:right w:type="dxa" w:w="120"/>
            </w:tcMar>
          </w:tcPr>
          <w:p>
            <w:r>
              <w:rPr>
                <w:rFonts w:ascii="Arial" w:cs="Arial" w:eastAsia="Arial" w:hAnsi="Arial"/>
                <w:b/>
                <w:bCs/>
                <w:color w:val="2D3142"/>
                <w:sz w:val="18"/>
                <w:szCs w:val="18"/>
              </w:rPr>
              <w:t xml:space="preserve">PACKAGING PRODUCTION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Packaging supplier coordination</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R/A</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30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Delivery to Vitaquest confirmed</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R/A</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9360"/>
            <w:gridSpan w:val="5"/>
            <w:tcBorders>
              <w:top w:val="single" w:color="CCCCCC" w:sz="1"/>
              <w:left w:val="single" w:color="CCCCCC" w:sz="1"/>
              <w:bottom w:val="single" w:color="CCCCCC" w:sz="1"/>
              <w:right w:val="single" w:color="CCCCCC" w:sz="1"/>
            </w:tcBorders>
            <w:shd w:fill="95D5B2" w:val="clear"/>
            <w:tcMar>
              <w:top w:type="dxa" w:w="60"/>
              <w:left w:type="dxa" w:w="120"/>
              <w:bottom w:type="dxa" w:w="60"/>
              <w:right w:type="dxa" w:w="120"/>
            </w:tcMar>
          </w:tcPr>
          <w:p>
            <w:r>
              <w:rPr>
                <w:rFonts w:ascii="Arial" w:cs="Arial" w:eastAsia="Arial" w:hAnsi="Arial"/>
                <w:b/>
                <w:bCs/>
                <w:color w:val="2D3142"/>
                <w:sz w:val="18"/>
                <w:szCs w:val="18"/>
              </w:rPr>
              <w:t xml:space="preserve">MANUFACTURING (Vitaquest)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Manufacturing scheduling &amp; tracking</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R/A</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30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In-process QC &amp; CoA coordination</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2D3142"/>
                <w:sz w:val="20"/>
                <w:szCs w:val="20"/>
              </w:rPr>
              <w:t xml:space="preserve">A</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Finished goods shipping to 3PL</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R/A</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9360"/>
            <w:gridSpan w:val="5"/>
            <w:tcBorders>
              <w:top w:val="single" w:color="CCCCCC" w:sz="1"/>
              <w:left w:val="single" w:color="CCCCCC" w:sz="1"/>
              <w:bottom w:val="single" w:color="CCCCCC" w:sz="1"/>
              <w:right w:val="single" w:color="CCCCCC" w:sz="1"/>
            </w:tcBorders>
            <w:shd w:fill="95D5B2" w:val="clear"/>
            <w:tcMar>
              <w:top w:type="dxa" w:w="60"/>
              <w:left w:type="dxa" w:w="120"/>
              <w:bottom w:type="dxa" w:w="60"/>
              <w:right w:type="dxa" w:w="120"/>
            </w:tcMar>
          </w:tcPr>
          <w:p>
            <w:r>
              <w:rPr>
                <w:rFonts w:ascii="Arial" w:cs="Arial" w:eastAsia="Arial" w:hAnsi="Arial"/>
                <w:b/>
                <w:bCs/>
                <w:color w:val="2D3142"/>
                <w:sz w:val="18"/>
                <w:szCs w:val="18"/>
              </w:rPr>
              <w:t xml:space="preserve">3PL &amp; COMMERCIAL READINESS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3PL item setup &amp; receiving prep</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R/A</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30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Pricing &amp; margin approval</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2D3142"/>
                <w:sz w:val="20"/>
                <w:szCs w:val="20"/>
              </w:rPr>
              <w:t xml:space="preserve">A</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Channel / retailer setup</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R/A</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r>
      <w:tr>
        <w:tc>
          <w:tcPr>
            <w:tcW w:type="dxa" w:w="30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Demand plan &amp; S&amp;OP lock</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R/A</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Launch campaign execution</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R/A</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9360"/>
            <w:gridSpan w:val="5"/>
            <w:tcBorders>
              <w:top w:val="single" w:color="CCCCCC" w:sz="1"/>
              <w:left w:val="single" w:color="CCCCCC" w:sz="1"/>
              <w:bottom w:val="single" w:color="CCCCCC" w:sz="1"/>
              <w:right w:val="single" w:color="CCCCCC" w:sz="1"/>
            </w:tcBorders>
            <w:shd w:fill="95D5B2" w:val="clear"/>
            <w:tcMar>
              <w:top w:type="dxa" w:w="60"/>
              <w:left w:type="dxa" w:w="120"/>
              <w:bottom w:type="dxa" w:w="60"/>
              <w:right w:type="dxa" w:w="120"/>
            </w:tcMar>
          </w:tcPr>
          <w:p>
            <w:r>
              <w:rPr>
                <w:rFonts w:ascii="Arial" w:cs="Arial" w:eastAsia="Arial" w:hAnsi="Arial"/>
                <w:b/>
                <w:bCs/>
                <w:color w:val="2D3142"/>
                <w:sz w:val="18"/>
                <w:szCs w:val="18"/>
              </w:rPr>
              <w:t xml:space="preserve">LAUNCH &amp; POST-LAUNCH</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Launch readiness gate sign-off</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3142"/>
                <w:sz w:val="20"/>
                <w:szCs w:val="20"/>
              </w:rPr>
              <w:t xml:space="preserve">A</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r>
      <w:tr>
        <w:tc>
          <w:tcPr>
            <w:tcW w:type="dxa" w:w="30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Day-1 ops &amp; sell-through monitoring</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i w:val="false"/>
                <w:iCs w:val="false"/>
                <w:color w:val="2D3142"/>
                <w:sz w:val="20"/>
                <w:szCs w:val="20"/>
              </w:rPr>
              <w:t xml:space="preserve">A</w:t>
            </w:r>
          </w:p>
        </w:tc>
        <w:tc>
          <w:tcPr>
            <w:tcW w:type="dxa" w:w="159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6B7280"/>
                <w:sz w:val="20"/>
                <w:szCs w:val="20"/>
              </w:rPr>
              <w:t xml:space="preserve">I</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9"/>
                <w:szCs w:val="19"/>
              </w:rPr>
              <w:t xml:space="preserve">30-day post-launch review</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6A4F"/>
                <w:sz w:val="20"/>
                <w:szCs w:val="20"/>
              </w:rPr>
              <w:t xml:space="preserve">R/A</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2D3142"/>
                <w:sz w:val="20"/>
                <w:szCs w:val="20"/>
              </w:rPr>
              <w:t xml:space="preserve">A</w:t>
            </w:r>
          </w:p>
        </w:tc>
        <w:tc>
          <w:tcPr>
            <w:tcW w:type="dxa" w:w="159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A56DB"/>
                <w:sz w:val="20"/>
                <w:szCs w:val="20"/>
              </w:rPr>
              <w:t xml:space="preserve">C</w:t>
            </w:r>
          </w:p>
        </w:tc>
      </w:tr>
    </w:tbl>
    <w:p>
      <w:pPr>
        <w:spacing w:after="120"/>
      </w:pPr>
    </w:p>
    <w:p>
      <w:pPr>
        <w:pBdr>
          <w:bottom w:val="single" w:color="95D5B2" w:sz="4" w:space="1"/>
        </w:pBdr>
        <w:spacing w:after="160" w:before="160"/>
      </w:pPr>
    </w:p>
    <w:p>
      <w:pPr>
        <w:pStyle w:val="Heading1"/>
        <w:pageBreakBefore/>
        <w:spacing w:after="120" w:before="280"/>
      </w:pPr>
      <w:r>
        <w:rPr>
          <w:rFonts w:ascii="Arial" w:cs="Arial" w:eastAsia="Arial" w:hAnsi="Arial"/>
          <w:b/>
          <w:bCs/>
          <w:color w:val="2D6A4F"/>
          <w:sz w:val="32"/>
          <w:szCs w:val="32"/>
        </w:rPr>
        <w:t xml:space="preserve">6. Risk Register</w:t>
      </w:r>
    </w:p>
    <w:p>
      <w:pPr>
        <w:spacing w:after="100"/>
      </w:pPr>
      <w:r>
        <w:rPr>
          <w:rFonts w:ascii="Arial" w:cs="Arial" w:eastAsia="Arial" w:hAnsi="Arial"/>
          <w:b w:val="false"/>
          <w:bCs w:val="false"/>
          <w:i w:val="false"/>
          <w:iCs w:val="false"/>
          <w:color w:val="2D3142"/>
          <w:sz w:val="20"/>
          <w:szCs w:val="20"/>
        </w:rPr>
        <w:t xml:space="preserve">Risks are ordered by urgency as of April 14, 2026. The highest priority open item is confirming packaging type and vendor for Skin, Sleep, Skin/Sleep (Aug 1), and OTC Skin. Until packaging is confirmed, artwork and production timelines for those SKUs cannot be established.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360"/>
      </w:tblGrid>
      <w:tr>
        <w:trPr>
          <w:tblHeader/>
        </w:trPr>
        <w:tc>
          <w:tcPr>
            <w:tcW w:type="dxa" w:w="360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Risk</w:t>
            </w:r>
          </w:p>
        </w:tc>
        <w:tc>
          <w:tcPr>
            <w:tcW w:type="dxa" w:w="120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Impact</w:t>
            </w:r>
          </w:p>
        </w:tc>
        <w:tc>
          <w:tcPr>
            <w:tcW w:type="dxa" w:w="120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Likelihood</w:t>
            </w:r>
          </w:p>
        </w:tc>
        <w:tc>
          <w:tcPr>
            <w:tcW w:type="dxa" w:w="3360"/>
            <w:gridSpan w:val="1"/>
            <w:tcBorders>
              <w:top w:val="single" w:color="CCCCCC" w:sz="1"/>
              <w:left w:val="single" w:color="CCCCCC" w:sz="1"/>
              <w:bottom w:val="single" w:color="CCCCCC" w:sz="1"/>
              <w:right w:val="single" w:color="CCCCCC" w:sz="1"/>
            </w:tcBorders>
            <w:shd w:fill="2D314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Mitigation</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Vitaquest production delay past May 5</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8"/>
                <w:szCs w:val="18"/>
              </w:rPr>
              <w:t xml:space="preserve">High</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2D6A4F"/>
                <w:sz w:val="18"/>
                <w:szCs w:val="18"/>
              </w:rPr>
              <w:t xml:space="preserve">Low</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Manufacturing started ~March 10. Confirm weekly with Vitaquest. Any slip surfaces same day.</w:t>
            </w:r>
          </w:p>
        </w:tc>
      </w:tr>
      <w:tr>
        <w:tc>
          <w:tcPr>
            <w:tcW w:type="dxa" w:w="36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QC hold on finished goods delays 3PL delivery</w:t>
            </w:r>
          </w:p>
        </w:tc>
        <w:tc>
          <w:tcPr>
            <w:tcW w:type="dxa" w:w="1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8"/>
                <w:szCs w:val="18"/>
              </w:rPr>
              <w:t xml:space="preserve">High</w:t>
            </w:r>
          </w:p>
        </w:tc>
        <w:tc>
          <w:tcPr>
            <w:tcW w:type="dxa" w:w="1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2D6A4F"/>
                <w:sz w:val="18"/>
                <w:szCs w:val="18"/>
              </w:rPr>
              <w:t xml:space="preserve">Low</w:t>
            </w:r>
          </w:p>
        </w:tc>
        <w:tc>
          <w:tcPr>
            <w:tcW w:type="dxa" w:w="336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Pre-submit CoA documentation week of April 21. QC review begins immediately when production run completes.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Skin/Sleep/OTC Skin packaging type not yet confirmed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8"/>
                <w:szCs w:val="18"/>
              </w:rPr>
              <w:t xml:space="preserve">High</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8"/>
                <w:szCs w:val="18"/>
              </w:rPr>
              <w:t xml:space="preserve">High</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Packaging selection is blocking artwork, production scheduling, and vendor POs for these SKUs. Decision needed immediately to preserve launch dates. Until packaging is confirmed, timelines cannot be set.</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3PL item setup incomplete before May 5 receiving window</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E67E22"/>
                <w:sz w:val="18"/>
                <w:szCs w:val="18"/>
              </w:rPr>
              <w:t xml:space="preserve">Medium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E67E22"/>
                <w:sz w:val="18"/>
                <w:szCs w:val="18"/>
              </w:rPr>
              <w:t xml:space="preserve">Medium</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Submit item setup to 3PL by April 21 at latest. Confirm setup is complete before product ships.</w:t>
            </w:r>
          </w:p>
        </w:tc>
      </w:tr>
      <w:tr>
        <w:tc>
          <w:tcPr>
            <w:tcW w:type="dxa" w:w="36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Commercial readiness (pricing, channel) not complete by June 2</w:t>
            </w:r>
          </w:p>
        </w:tc>
        <w:tc>
          <w:tcPr>
            <w:tcW w:type="dxa" w:w="1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E67E22"/>
                <w:sz w:val="18"/>
                <w:szCs w:val="18"/>
              </w:rPr>
              <w:t xml:space="preserve">Medium</w:t>
            </w:r>
          </w:p>
        </w:tc>
        <w:tc>
          <w:tcPr>
            <w:tcW w:type="dxa" w:w="120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i w:val="false"/>
                <w:iCs w:val="false"/>
                <w:color w:val="E67E22"/>
                <w:sz w:val="18"/>
                <w:szCs w:val="18"/>
              </w:rPr>
              <w:t xml:space="preserve">Medium</w:t>
            </w:r>
          </w:p>
        </w:tc>
        <w:tc>
          <w:tcPr>
            <w:tcW w:type="dxa" w:w="3360"/>
            <w:gridSpan w:val="1"/>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Pricing approval by May 9. Channel setup by May 23. Both start this week. Daily checks in final week.</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Future launches slip due to missing design start deadlines</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8"/>
                <w:szCs w:val="18"/>
              </w:rPr>
              <w:t xml:space="preserve">High</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E67E22"/>
                <w:sz w:val="18"/>
                <w:szCs w:val="18"/>
              </w:rPr>
              <w:t xml:space="preserve">Medium</w:t>
            </w:r>
          </w:p>
        </w:tc>
        <w:tc>
          <w:tcPr>
            <w:tcW w:type="dxa" w:w="3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2D3142"/>
                <w:sz w:val="18"/>
                <w:szCs w:val="18"/>
              </w:rPr>
              <w:t xml:space="preserve">Use the Supplement / Skincare Workback Calculator (Section 3) to establish design start dates for each SKU. Dates should be tracked and escalated proactively.</w:t>
            </w:r>
          </w:p>
        </w:tc>
      </w:tr>
    </w:tbl>
    <w:p>
      <w:pPr>
        <w:spacing w:after="200"/>
      </w:pPr>
    </w:p>
    <w:p>
      <w:pPr>
        <w:jc w:val="center"/>
      </w:pPr>
      <w:r>
        <w:rPr>
          <w:rFonts w:ascii="Arial" w:cs="Arial" w:eastAsia="Arial" w:hAnsi="Arial"/>
          <w:i/>
          <w:iCs/>
          <w:color w:val="6B7280"/>
          <w:sz w:val="18"/>
          <w:szCs w:val="18"/>
        </w:rPr>
        <w:t xml:space="preserve">Questions or blockers? Contact Supply Chain &amp; Fulfillment Operations immediately.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5D5B2" w:sz="4" w:space="1"/>
      </w:pBdr>
      <w:tabs>
        <w:tab w:val="right" w:pos="9360"/>
      </w:tabs>
      <w:spacing w:before="80"/>
    </w:pPr>
    <w:r>
      <w:rPr>
        <w:rFonts w:ascii="Arial" w:cs="Arial" w:eastAsia="Arial" w:hAnsi="Arial"/>
        <w:color w:val="6B7280"/>
        <w:sz w:val="16"/>
        <w:szCs w:val="16"/>
      </w:rPr>
      <w:t xml:space="preserve">Noom — Confidential &amp; Internal Use Only</w:t>
    </w:r>
    <w:r>
      <w:rPr>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1"/>
      </w:pBdr>
      <w:tabs>
        <w:tab w:val="right" w:pos="9360"/>
      </w:tabs>
    </w:pPr>
    <w:r>
      <w:rPr>
        <w:rFonts w:ascii="Arial" w:cs="Arial" w:eastAsia="Arial" w:hAnsi="Arial"/>
        <w:b/>
        <w:bCs/>
        <w:color w:val="2D6A4F"/>
        <w:sz w:val="18"/>
        <w:szCs w:val="18"/>
      </w:rPr>
      <w:t xml:space="preserve">Noom Supplement Launch Playbook</w:t>
    </w:r>
    <w:r>
      <w:rPr>
        <w:sz w:val="18"/>
        <w:szCs w:val="18"/>
      </w:rPr>
      <w:t xml:space="preserve">	</w:t>
    </w:r>
    <w:r>
      <w:rPr>
        <w:rFonts w:ascii="Arial" w:cs="Arial" w:eastAsia="Arial" w:hAnsi="Arial"/>
        <w:b/>
        <w:bCs/>
        <w:color w:val="6B7280"/>
        <w:sz w:val="14"/>
        <w:szCs w:val="14"/>
      </w:rPr>
      <w:t xml:space="preserve">Metabolic: Jun 2  |  Vitality: Jul 1  |  Skin: Jun 1  |  Sleep: Jul 1  |  Skin/Sleep: Aug 1  |  OTC Skin: Nov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D6A4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D31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2026-04-15T18:01:19.836Z</dcterms:created>
  <dcterms:modified xsi:type="dcterms:W3CDTF">2026-04-15T18:01:19.837Z</dcterms:modified>
</cp:coreProperties>
</file>

<file path=docProps/custom.xml><?xml version="1.0" encoding="utf-8"?>
<Properties xmlns="http://schemas.openxmlformats.org/officeDocument/2006/custom-properties" xmlns:vt="http://schemas.openxmlformats.org/officeDocument/2006/docPropsVTypes"/>
</file>