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Anthony Wittemann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18"/>
          <w:highlight w:val="white"/>
          <w:rtl w:val="0"/>
        </w:rPr>
        <w:t xml:space="preserve">P. 251: 1-20 MC/TF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1)  b.  decision structure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2)  d.  boolean expression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3)  a.  relational operators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4)  b.  logical operators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5)  c.  null statement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6)  d.  braces  {}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7)  a.  flag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8)  b.  “A” is less than “B”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9)  a.  nested if statement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10)  a.  the closest previous if clause that doesn’t already have its own else clause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11)  a.  &amp;&amp;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12)  c.  the equals method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13)  c.  three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14)  b.  default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15)  False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16)  True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17)  True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18)  True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19)  False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20)  False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AWHW021314.docx</dc:title>
</cp:coreProperties>
</file>