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ReliefIQ — Technical Blueprint</w:t>
      </w:r>
    </w:p>
    <w:p>
      <w:r>
        <w:drawing>
          <wp:inline xmlns:a="http://schemas.openxmlformats.org/drawingml/2006/main" xmlns:pic="http://schemas.openxmlformats.org/drawingml/2006/picture">
            <wp:extent cx="640080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efiq-architecture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ADK AgentTools coordinate four specialists. Python tools access BigQuery through Google MCP Toolbox. The MCP Memo / Report Service is a proposed extension for Word/PDF export; it is not currently deployed.</w:t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