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ReliefIQ — Main Street Grant Officer Workbench</w:t>
      </w:r>
    </w:p>
    <w:p>
      <w:r>
        <w:t>Proposal — Challenge 03: Community Economic Resilience + Micro-Grants</w:t>
      </w:r>
    </w:p>
    <w:p>
      <w:r>
        <w:t>We’ll build for the Main Street relief track: an officer supplies applications and a limited budget, and our system produces a defensible Grant Memo.</w:t>
      </w:r>
    </w:p>
    <w:p>
      <w:r>
        <w:rPr>
          <w:b/>
        </w:rPr>
        <w:t>The guiding instruction is “Build a case, not a score.”</w:t>
      </w:r>
    </w:p>
    <w:p>
      <w:pPr>
        <w:pStyle w:val="Heading1"/>
      </w:pPr>
      <w:r>
        <w:t>Our four agents</w:t>
      </w:r>
    </w:p>
    <w:p>
      <w:pPr>
        <w:pStyle w:val="ListBullet"/>
      </w:pPr>
      <w:r>
        <w:rPr>
          <w:b/>
        </w:rPr>
        <w:t xml:space="preserve">Cascade Analyst: </w:t>
      </w:r>
      <w:r>
        <w:t>Traces named, multi-hop supply-chain paths through a real BigQuery property graph and tests sensitivity to weak modeled links.</w:t>
      </w:r>
    </w:p>
    <w:p>
      <w:pPr>
        <w:pStyle w:val="ListBullet"/>
      </w:pPr>
      <w:r>
        <w:rPr>
          <w:b/>
        </w:rPr>
        <w:t xml:space="preserve">Neighborhood Context: </w:t>
      </w:r>
      <w:r>
        <w:t>Adds workplace footfall and census-tract context without treating neighborhood statistics as facts about individual businesses or customers.</w:t>
      </w:r>
    </w:p>
    <w:p>
      <w:pPr>
        <w:pStyle w:val="ListBullet"/>
      </w:pPr>
      <w:r>
        <w:rPr>
          <w:b/>
        </w:rPr>
        <w:t xml:space="preserve">Grant Advisor: </w:t>
      </w:r>
      <w:r>
        <w:t>Combines applicant needs, operating assumptions, and graph evidence to compare feasible interventions and draft the memo.</w:t>
      </w:r>
    </w:p>
    <w:p>
      <w:pPr>
        <w:pStyle w:val="ListBullet"/>
      </w:pPr>
      <w:r>
        <w:rPr>
          <w:b/>
        </w:rPr>
        <w:t xml:space="preserve">Evidence Reviewer: </w:t>
      </w:r>
      <w:r>
        <w:t>Checks allocation consistency, missing evidence, provenance, and unsupported claims before officer review.</w:t>
      </w:r>
    </w:p>
    <w:p>
      <w:pPr>
        <w:pStyle w:val="Heading1"/>
      </w:pPr>
      <w:r>
        <w:t>Officer workflow</w:t>
      </w:r>
    </w:p>
    <w:p>
      <w:pPr>
        <w:pStyle w:val="ListNumber"/>
      </w:pPr>
      <w:r>
        <w:t>Enter applications, supporting evidence, budget, and operating horizon.</w:t>
      </w:r>
    </w:p>
    <w:p>
      <w:pPr>
        <w:pStyle w:val="ListNumber"/>
      </w:pPr>
      <w:r>
        <w:t>Analyze cascades and neighborhood context.</w:t>
      </w:r>
    </w:p>
    <w:p>
      <w:pPr>
        <w:pStyle w:val="ListNumber"/>
      </w:pPr>
      <w:r>
        <w:t>Compare the proposed intervention with a runner-up.</w:t>
      </w:r>
    </w:p>
    <w:p>
      <w:pPr>
        <w:pStyle w:val="ListNumber"/>
      </w:pPr>
      <w:r>
        <w:t>Review evidence gaps and assumptions.</w:t>
      </w:r>
    </w:p>
    <w:p>
      <w:pPr>
        <w:pStyle w:val="ListNumber"/>
      </w:pPr>
      <w:r>
        <w:t>Export the Grant Memo.</w:t>
      </w:r>
    </w:p>
    <w:p>
      <w:pPr>
        <w:pStyle w:val="Heading1"/>
      </w:pPr>
      <w:r>
        <w:t>Dashboard</w:t>
      </w:r>
    </w:p>
    <w:p>
      <w:r>
        <w:t>Application intake, case comparison, visible queried graph paths and edge intensities, neighborhood context, reviewer findings, and an editable memo with follow-up chat.</w:t>
      </w:r>
    </w:p>
    <w:p>
      <w:pPr>
        <w:pStyle w:val="Heading1"/>
      </w:pPr>
      <w:r>
        <w:t>How this meets the challenge</w:t>
      </w:r>
    </w:p>
    <w:p>
      <w:r>
        <w:t>The Grant Memo answers:</w:t>
      </w:r>
    </w:p>
    <w:p>
      <w:pPr>
        <w:pStyle w:val="ListBullet"/>
      </w:pPr>
      <w:r>
        <w:t>Which business and how much?</w:t>
      </w:r>
    </w:p>
    <w:p>
      <w:pPr>
        <w:pStyle w:val="ListBullet"/>
      </w:pPr>
      <w:r>
        <w:t>What does it protect? A named cascade, supported by graph evidence.</w:t>
      </w:r>
    </w:p>
    <w:p>
      <w:pPr>
        <w:pStyle w:val="ListBullet"/>
      </w:pPr>
      <w:r>
        <w:t>Where is the traversal? Show the actual multi-hop BigQuery paths.</w:t>
      </w:r>
    </w:p>
    <w:p>
      <w:pPr>
        <w:pStyle w:val="ListBullet"/>
      </w:pPr>
      <w:r>
        <w:t>Why this case over the runner-up?</w:t>
      </w:r>
    </w:p>
    <w:p>
      <w:pPr>
        <w:pStyle w:val="ListBullet"/>
      </w:pPr>
      <w:r>
        <w:t>What are we assuming the grant changes?</w:t>
      </w:r>
    </w:p>
    <w:p>
      <w:r>
        <w:t>Network exposure supports the case; it does not determine the decision alone. Financial need, viability, substitution options, and uncertainty must also be considered.</w:t>
      </w:r>
    </w:p>
    <w:p>
      <w:pPr>
        <w:pStyle w:val="Heading1"/>
      </w:pPr>
      <w:r>
        <w:t>Data and limitations</w:t>
      </w:r>
    </w:p>
    <w:p>
      <w:r>
        <w:t>The dataset contains real businesses, modeled supply and footfall links, workplace job totals, demographics, and matched historical SBA loans.</w:t>
      </w:r>
    </w:p>
    <w:p>
      <w:r>
        <w:t>It contains no grant applications. Actual applicant evidence is needed to fulfill the track’s “every case real” wording. Synthetic applications can demonstrate the workflow but will be explicitly labeled.</w:t>
      </w:r>
    </w:p>
    <w:p>
      <w:r>
        <w:t>Modeled reachability does not prove closures prevented, jobs saved, or grant benefits.</w:t>
      </w:r>
    </w:p>
    <w:p>
      <w:pPr>
        <w:pStyle w:val="Heading1"/>
      </w:pPr>
      <w:r>
        <w:t>Integration</w:t>
      </w:r>
    </w:p>
    <w:p>
      <w:r>
        <w:t>An authenticated dashboard backend calls the agents through the Cloud Run ADK API. Agent tools access BigQuery through Google MCP Toolbox. Applications, evidence, results, and memo versions will be saved for review.</w:t>
      </w:r>
    </w:p>
    <w:p>
      <w:pPr>
        <w:pStyle w:val="Heading1"/>
      </w:pPr>
      <w:r>
        <w:t>Next build</w:t>
      </w:r>
    </w:p>
    <w:p>
      <w:r>
        <w:t>Bring all four agents into one intake-to-memo workflow, with application intake, case comparison, graph visualization, evidence review, and memo export.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ReliefIQ | Challenge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7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7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7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ReliefIQ — Grant Officer Workbench Proposal</dc:title>
  <dc:subject>Challenge 03 — Community Economic Resilience + Micro-Grants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