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ReliefIQ — Example Grant Memo</w:t>
      </w:r>
    </w:p>
    <w:p>
      <w:r>
        <w:t>Generated October 20, 2026 at 03:40 PM EDT</w:t>
        <w:br/>
        <w:t>Memo: e3bcc46d-9231-4c17-8acc-969509ea6bf9</w:t>
        <w:br/>
        <w:t>Run: 25639958-e5e1-44d2-8250-1e8242c2ced7</w:t>
      </w:r>
    </w:p>
    <w:p>
      <w:r>
        <w:t>SIMULATED INPUTS • CONDITIONAL DECISION SUPPORT • HUMAN REVIEW REQUIRED</w:t>
      </w:r>
    </w:p>
    <w:p>
      <w:pPr>
        <w:pStyle w:val="Heading1"/>
      </w:pPr>
      <w:r>
        <w:t>Original agent output — unchanged wording</w:t>
      </w:r>
    </w:p>
    <w:p>
      <w:r>
        <w:t>GRANT MEMO</w:t>
      </w:r>
    </w:p>
    <w:p/>
    <w:p>
      <w:r>
        <w:t>**Scenario:** Simulated scenario with applicant-reported financials and operating assumptions for a 90-day horizon.</w:t>
      </w:r>
    </w:p>
    <w:p>
      <w:r>
        <w:t>**Provenance:** SYNTHETIC SEEDED DEMO. Financials, owners, document claims and connections are not verified facts.</w:t>
      </w:r>
    </w:p>
    <w:p/>
    <w:p>
      <w:r>
        <w:t>**No Feasible Allocation:** No grant can be recommended from the provided budget of $50,000. For both applicants, Steel + Lacquer (ID: 1026779-04-151) and Impark 0314 (ID: 1056704-02-161), the stated cash gap ($18,000) exceeds their requested amount ($15,000). The operating assumption for both states that partial funding has no assumed benefit. The grant policy is to fund the full gap, capped by the requested amount. Therefore, neither applicant is eligible for funding under these conditions.</w:t>
      </w:r>
    </w:p>
    <w:p/>
    <w:p>
      <w:pPr>
        <w:pStyle w:val="Heading2"/>
      </w:pPr>
      <w:r>
        <w:t>1. Which business, by name and address, and how much;</w:t>
      </w:r>
    </w:p>
    <w:p>
      <w:r>
        <w:t>No business is recommended for funding.</w:t>
      </w:r>
    </w:p>
    <w:p>
      <w:r>
        <w:t>*   **Steel + Lacquer** (ID: 1026779-04-151), 14 10th St: $0 USD</w:t>
      </w:r>
    </w:p>
    <w:p>
      <w:r>
        <w:t>*   **Impark 0314** (ID: 1056704-02-161), 50 8th St: $0 USD</w:t>
      </w:r>
    </w:p>
    <w:p>
      <w:r>
        <w:t>Unallocated budget: $50,000 USD.</w:t>
      </w:r>
    </w:p>
    <w:p/>
    <w:p>
      <w:pPr>
        <w:pStyle w:val="Heading2"/>
      </w:pPr>
      <w:r>
        <w:t>2. What it protects—the cascade, named;</w:t>
      </w:r>
    </w:p>
    <w:p>
      <w:r>
        <w:t>Since no grant is made, no cascade is actively protected.</w:t>
      </w:r>
    </w:p>
    <w:p>
      <w:r>
        <w:t>*   **Steel + Lacquer (ID: 1026779-04-151):** Showed a potential modeled supply cascade to 7 unique downstream businesses within two hops, after filtering for modeled links with an intensity below 0.01.</w:t>
      </w:r>
    </w:p>
    <w:p>
      <w:r>
        <w:t>*   **Impark 0314 (ID: 1056704-02-161):** Showed no filtered downstream supply cascade.</w:t>
      </w:r>
    </w:p>
    <w:p/>
    <w:p>
      <w:pPr>
        <w:pStyle w:val="Heading2"/>
      </w:pPr>
      <w:r>
        <w:t>3. The traversal itself, shown;</w:t>
      </w:r>
    </w:p>
    <w:p>
      <w:r>
        <w:t>For Steel + Lacquer, potential modeled supply paths include:</w:t>
      </w:r>
    </w:p>
    <w:p>
      <w:r>
        <w:t>*   Steel + Lacquer → Starbucks Coffee #6937</w:t>
      </w:r>
    </w:p>
    <w:p>
      <w:r>
        <w:t>*   Steel + Lacquer → The Barbary Coast Pastry And Coffee</w:t>
      </w:r>
    </w:p>
    <w:p>
      <w:r>
        <w:t>*   Steel + Lacquer → The Function</w:t>
      </w:r>
    </w:p>
    <w:p>
      <w:r>
        <w:t>*   Steel + Lacquer → Jay's Grill</w:t>
      </w:r>
    </w:p>
    <w:p>
      <w:r>
        <w:t>*   Steel + Lacquer → Starbucks Coffee #6937 → Ram's Hotel</w:t>
      </w:r>
    </w:p>
    <w:p>
      <w:r>
        <w:t>*   Steel + Lacquer → The Function → Convergeone, Inc.</w:t>
      </w:r>
    </w:p>
    <w:p>
      <w:r>
        <w:t>*   Steel + Lacquer → The Barbary Coast Pastry And Coffee → Richmond Area Multi-Services, Inc. Caap</w:t>
      </w:r>
    </w:p>
    <w:p>
      <w:r>
        <w:t>For Impark 0314, no filtered paths were identified.</w:t>
      </w:r>
    </w:p>
    <w:p/>
    <w:p>
      <w:pPr>
        <w:pStyle w:val="Heading2"/>
      </w:pPr>
      <w:r>
        <w:t>4. Why this one and not the runner-up;</w:t>
      </w:r>
    </w:p>
    <w:p>
      <w:r>
        <w:t>No applicant met the funding criteria due to the cash gap exceeding the requested amount, therefore no recipient is recommended and no runner-up is designated. If funding were feasible, Steel + Lacquer demonstrated a filtered cascade to 7 businesses, while Impark 0314 showed no filtered cascade.</w:t>
      </w:r>
    </w:p>
    <w:p/>
    <w:p>
      <w:pPr>
        <w:pStyle w:val="Heading2"/>
      </w:pPr>
      <w:r>
        <w:t>5. What you are assuming;</w:t>
      </w:r>
    </w:p>
    <w:p>
      <w:r>
        <w:t>*   **Horizon:** 90 days.</w:t>
      </w:r>
    </w:p>
    <w:p>
      <w:r>
        <w:t>*   **Intervention Direction:** Supply disruption.</w:t>
      </w:r>
    </w:p>
    <w:p>
      <w:r>
        <w:t>*   **Operating Assumption (Steel + Lacquer):** Bridge payroll and rent gap ($18k cash gap) while rebooking corporate corridor accounts; assume full gap funding sustains operation for 90 days. Partial funding has no assumed benefit.</w:t>
      </w:r>
    </w:p>
    <w:p>
      <w:r>
        <w:t>*   **Operating Assumption (Impark 0314):** Cover attendant staffing and gate equipment during evening theatre recovery; assume full gap funding sustains operation for 90 days. Partial funding has no assumed benefit.</w:t>
      </w:r>
    </w:p>
    <w:p>
      <w:r>
        <w:t>*   **Grant Policy:** Fund the supplied cash gap in full, capped by requested amount and budget. No assumed benefit from partial grants.</w:t>
      </w:r>
    </w:p>
    <w:p>
      <w:r>
        <w:t>*   **Sensitivity:** Modeled supply links with an intensity below 0.01 were filtered out.</w:t>
      </w:r>
    </w:p>
    <w:p/>
    <w:p>
      <w:pPr>
        <w:pStyle w:val="Heading2"/>
      </w:pPr>
      <w:r>
        <w:t>6. Which parts of the evidence are modeled;</w:t>
      </w:r>
    </w:p>
    <w:p>
      <w:r>
        <w:t>*   **Supply Links:** All supply links are modeled from industry coefficients and proximity, not observed transactions.</w:t>
      </w:r>
    </w:p>
    <w:p>
      <w:r>
        <w:t>*   **Reachability:** Represents potential exposure, not predicted closures, business employment, or jobs saved.</w:t>
      </w:r>
    </w:p>
    <w:p>
      <w:r>
        <w:t>*   **Impact:** No closure probability, financial need, substitution behavior, or grant effect is established.</w:t>
      </w:r>
    </w:p>
    <w:p>
      <w:r>
        <w:t>*   **Financials:** All financial inputs, ownership details, and document claims are simulated and not independently verified.</w:t>
      </w:r>
    </w:p>
    <w:p>
      <w:r>
        <w:t>*   **Public Records:** Registry records for both businesses show "no_closure_recorded" as of 2026-10-20. WARN notices are county-scope only and are not linked to specific corridor businesses or workplace blocks.</w:t>
      </w:r>
    </w:p>
    <w:p/>
    <w:p>
      <w:pPr>
        <w:pStyle w:val="Heading2"/>
      </w:pPr>
      <w:r>
        <w:t>7. Who the neighborhood is.</w:t>
      </w:r>
    </w:p>
    <w:p>
      <w:r>
        <w:t>Public WARN notices for San Francisco County indicate various layoffs and closures by other companies, with effective dates between September and November 2026. These notices are county-wide and are not linked to specific businesses within the Central Market corridor or to the applicants. No specific worker-footfall connections or public tract context were requested or generated for this memo.</w:t>
      </w:r>
    </w:p>
    <w:p>
      <w:r>
        <w:br w:type="page"/>
      </w:r>
    </w:p>
    <w:p>
      <w:pPr>
        <w:pStyle w:val="Heading1"/>
      </w:pPr>
      <w:r>
        <w:t>Editorial evidence appendix</w:t>
      </w:r>
    </w:p>
    <w:p/>
    <w:p/>
    <w:p/>
    <w:p>
      <w:r>
        <w:t>The saved comparison completed successfully (`status: ok`) with no recommendation, no runner-up and $50,000 unallocated. This is a completed no-feasible-funding analysis, not an execution failure. Each gap exceeds its request under the full-gap assumption.</w:t>
      </w:r>
    </w:p>
    <w:p/>
    <w:p>
      <w:r>
        <w:t>| Applicant | Unfiltered exposure | Filtered exposure at 0.01 |</w:t>
      </w:r>
    </w:p>
    <w:p>
      <w:r>
        <w:t>|---|---:|---:|</w:t>
      </w:r>
    </w:p>
    <w:p>
      <w:r>
        <w:t>| Steel + Lacquer | 23 | 7 |</w:t>
      </w:r>
    </w:p>
    <w:p>
      <w:r>
        <w:t>| Impark 0314 | 24 | 0 |</w:t>
      </w:r>
    </w:p>
    <w:p/>
    <w:p>
      <w:r>
        <w:t>The opening calls the financials “applicant-reported,” but the authoritative saved input classification is **simulated**. Registry addresses in the report differ from seeded application addresses; registry-derived locations and simulation inputs must remain distinguishable.</w:t>
      </w:r>
    </w:p>
    <w:p/>
    <w:p>
      <w:r>
        <w:t>The report has seven headings and named paths, but omits the full GQL query and edge weights. `gql_traversal` is also absent from this saved comparison. Structured cascade results retain counts and selected example paths. Specific neighborhood/footfall evidence was not generated for this example.</w:t>
      </w:r>
    </w:p>
    <w:p/>
    <w:p>
      <w:r>
        <w:t>The evidence review returns **review_required**, **approval_ready: false**, **consistency_checks_passed: true**, and **memo_screened: false**. It flags simulated inputs, unverified documents, modeled relationships and unverified county WARN linkage. Consistency checks do not establish that final prose was screened or documents audited.</w:t>
      </w:r>
    </w:p>
    <w:p/>
    <w:p>
      <w:r>
        <w:t>Before real approval, collect documented need, an operating plan, observed supplier/customer links and substitutes, and community/equity evidence. No funding is approved and no jobs-saving effect is proven by this demonstration.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ReliefIQ | Agents for Impact 2026 | Preserved 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