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Capital Research — Flash Note (demo)</w:t>
      </w:r>
    </w:p>
    <w:p>
      <w:r>
        <w:t>SYNTHETIC DOCUMENT — created for this demo, not a real research note.</w:t>
      </w:r>
    </w:p>
    <w:p>
      <w:pPr>
        <w:pStyle w:val="Heading2"/>
      </w:pPr>
      <w:r>
        <w:t>Squarespace (SQSP) — Permira's $44 looks like an opening bid, not a closing one</w:t>
      </w:r>
    </w:p>
    <w:p>
      <w:r>
        <w:t>May 14, 2024</w:t>
      </w:r>
    </w:p>
    <w:p>
      <w:r>
        <w:t>Permira's $44.00/share all-cash offer values SQSP at roughly $6.9B enterprise value. Founder Anthony Casalena, General Atlantic and Accel are rolling equity rather than cashing out, which we read as insiders seeing value above the deal price. With the stock having traded above $44 within the last twelve months, we would not rule out a sweetened price before closing.</w:t>
      </w:r>
    </w:p>
    <w:p>
      <w:r>
        <w:t>On profitability: we estimate FY2023 Consolidated EBITDA of approximately $252M on the Credit Agreement definition, which permits addbacks beyond the company's own non-GAAP measure. Squarespace's reported adjusted EBITDA for FY2023 was $235.4M. Neither figure is comparable to unlevered free cash flow. Investors comparing leverage math across sources should check which definition is in play before quoting a multiple.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Basis</w:t>
            </w:r>
          </w:p>
        </w:tc>
        <w:tc>
          <w:tcPr>
            <w:tcW w:type="dxa" w:w="2880"/>
          </w:tcPr>
          <w:p>
            <w:r>
              <w:t>FY2023 value</w:t>
            </w:r>
          </w:p>
        </w:tc>
      </w:tr>
      <w:tr>
        <w:tc>
          <w:tcPr>
            <w:tcW w:type="dxa" w:w="2880"/>
          </w:tcPr>
          <w:p>
            <w:r>
              <w:t>Adjusted EBITDA</w:t>
            </w:r>
          </w:p>
        </w:tc>
        <w:tc>
          <w:tcPr>
            <w:tcW w:type="dxa" w:w="2880"/>
          </w:tcPr>
          <w:p>
            <w:r>
              <w:t>company non-GAAP (reported)</w:t>
            </w:r>
          </w:p>
        </w:tc>
        <w:tc>
          <w:tcPr>
            <w:tcW w:type="dxa" w:w="2880"/>
          </w:tcPr>
          <w:p>
            <w:r>
              <w:t>$235.4M</w:t>
            </w:r>
          </w:p>
        </w:tc>
      </w:tr>
      <w:tr>
        <w:tc>
          <w:tcPr>
            <w:tcW w:type="dxa" w:w="2880"/>
          </w:tcPr>
          <w:p>
            <w:r>
              <w:t>Consolidated EBITDA</w:t>
            </w:r>
          </w:p>
        </w:tc>
        <w:tc>
          <w:tcPr>
            <w:tcW w:type="dxa" w:w="2880"/>
          </w:tcPr>
          <w:p>
            <w:r>
              <w:t>Credit Agreement definition (est.)</w:t>
            </w:r>
          </w:p>
        </w:tc>
        <w:tc>
          <w:tcPr>
            <w:tcW w:type="dxa" w:w="2880"/>
          </w:tcPr>
          <w:p>
            <w:r>
              <w:t>~$252M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