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40" w:after="120"/>
      </w:pPr>
      <w:r>
        <w:rPr>
          <w:b/>
        </w:rPr>
        <w:t xml:space="preserve">DISCLOSURE STATEMENT</w:t>
      </w:r>
    </w:p>
    <w:p>
      <w:pPr>
        <w:pStyle w:val="Normal"/>
        <w:spacing w:after="240" w:line="480" w:lineRule="auto"/>
      </w:pPr>
      <w:r>
        <w:t xml:space="preserve">Appellant is a natural person proceeding pro se and is not required to file a disclosure statement pursuant to FRAP 26.1.</w:t>
      </w:r>
    </w:p>
    <w:p>
      <w:r>
        <w:br w:type="page"/>
      </w:r>
    </w:p>
    <w:p>
      <w:pPr>
        <w:pStyle w:val="Heading1"/>
        <w:spacing w:before="240" w:after="120"/>
      </w:pPr>
      <w:r>
        <w:rPr>
          <w:b/>
        </w:rPr>
        <w:t xml:space="preserve">TABLE OF CONTENTS</w:t>
      </w:r>
    </w:p>
    <w:p>
      <w:pPr>
        <w:pStyle w:val="Normal"/>
        <w:jc w:val="center"/>
        <w:spacing w:line="480" w:lineRule="auto"/>
      </w:pPr>
      <w:r>
        <w:rPr>
          <w:b/>
        </w:rPr>
        <w:t xml:space="preserve">Page</w:t>
      </w:r>
    </w:p>
    <w:p>
      <w:pPr>
        <w:tabs>
          <w:tab w:val="right" w:leader="dot" w:pos="9360"/>
        </w:tabs>
        <w:ind w:left="720"/>
      </w:pPr>
      <w:r>
        <w:t>DISCLOSURE STATEMENT</w:t>
      </w:r>
      <w:r>
        <w:tab/>
      </w:r>
      <w:r>
        <w:t>i</w:t>
      </w:r>
    </w:p>
    <w:p>
      <w:pPr>
        <w:tabs>
          <w:tab w:val="right" w:leader="dot" w:pos="9360"/>
        </w:tabs>
        <w:ind w:left="720"/>
      </w:pPr>
      <w:r>
        <w:t>TABLE OF AUTHORITIES</w:t>
      </w:r>
      <w:r>
        <w:tab/>
      </w:r>
      <w:r>
        <w:t>iv</w:t>
      </w:r>
    </w:p>
    <w:p>
      <w:pPr>
        <w:tabs>
          <w:tab w:val="right" w:leader="dot" w:pos="9360"/>
        </w:tabs>
        <w:ind w:left="720"/>
      </w:pPr>
      <w:r>
        <w:t>INTRODUCTION</w:t>
      </w:r>
      <w:r>
        <w:tab/>
      </w:r>
      <w:r>
        <w:t>1</w:t>
      </w:r>
    </w:p>
    <w:p>
      <w:pPr>
        <w:tabs>
          <w:tab w:val="right" w:leader="dot" w:pos="9360"/>
        </w:tabs>
        <w:ind w:left="720"/>
      </w:pPr>
      <w:r>
        <w:t>JURISDICTIONAL STATEMENT</w:t>
      </w:r>
      <w:r>
        <w:tab/>
      </w:r>
      <w:r>
        <w:t>2</w:t>
      </w:r>
    </w:p>
    <w:p>
      <w:pPr>
        <w:tabs>
          <w:tab w:val="right" w:leader="dot" w:pos="9360"/>
        </w:tabs>
        <w:ind w:left="720"/>
      </w:pPr>
      <w:r>
        <w:t>ISSUES PRESENTED</w:t>
      </w:r>
      <w:r>
        <w:tab/>
      </w:r>
      <w:r>
        <w:t>3</w:t>
      </w:r>
    </w:p>
    <w:p>
      <w:pPr>
        <w:tabs>
          <w:tab w:val="right" w:leader="dot" w:pos="9360"/>
        </w:tabs>
        <w:ind w:left="720"/>
      </w:pPr>
      <w:r>
        <w:t>STATEMENT OF THE CASE</w:t>
      </w:r>
      <w:r>
        <w:tab/>
      </w:r>
      <w:r>
        <w:t>4</w:t>
      </w:r>
    </w:p>
    <w:p>
      <w:pPr>
        <w:tabs>
          <w:tab w:val="right" w:leader="dot" w:pos="9360"/>
        </w:tabs>
        <w:ind w:left="720"/>
      </w:pPr>
      <w:r>
        <w:t>SUMMARY OF THE ARGUMENT</w:t>
      </w:r>
      <w:r>
        <w:tab/>
      </w:r>
      <w:r>
        <w:t>5</w:t>
      </w:r>
    </w:p>
    <w:p>
      <w:pPr>
        <w:tabs>
          <w:tab w:val="right" w:leader="dot" w:pos="9360"/>
        </w:tabs>
        <w:ind w:left="720"/>
      </w:pPr>
      <w:r>
        <w:t>STANDARD OF REVIEW</w:t>
      </w:r>
      <w:r>
        <w:tab/>
      </w:r>
      <w:r>
        <w:t>6</w:t>
      </w:r>
    </w:p>
    <w:p>
      <w:pPr>
        <w:tabs>
          <w:tab w:val="right" w:leader="dot" w:pos="9360"/>
        </w:tabs>
        <w:ind w:left="720"/>
      </w:pPr>
      <w:r>
        <w:t>ARGUMENT</w:t>
      </w:r>
      <w:r>
        <w:tab/>
      </w:r>
      <w:r>
        <w:t>7</w:t>
      </w:r>
    </w:p>
    <w:p>
      <w:pPr>
        <w:tabs>
          <w:tab w:val="right" w:leader="dot" w:pos="9360"/>
        </w:tabs>
        <w:ind w:left="1440"/>
      </w:pPr>
      <w:r>
        <w:t>I. THE DISTRICT COURT ERRED IN DISMISSING APPELLANT'S ACCESS TO COURTS CLAIMS</w:t>
      </w:r>
      <w:r>
        <w:tab/>
      </w:r>
      <w:r>
        <w:t>X</w:t>
      </w:r>
    </w:p>
    <w:p>
      <w:pPr>
        <w:tabs>
          <w:tab w:val="right" w:leader="dot" w:pos="9360"/>
        </w:tabs>
        <w:ind w:left="2160"/>
      </w:pPr>
      <w:r>
        <w:t>A. The Destruction of 62 Legal Files Constituted Actual Injury</w:t>
      </w:r>
      <w:r>
        <w:tab/>
      </w:r>
      <w:r>
        <w:t>X</w:t>
      </w:r>
    </w:p>
    <w:p>
      <w:pPr>
        <w:tabs>
          <w:tab w:val="right" w:leader="dot" w:pos="9360"/>
        </w:tabs>
        <w:ind w:left="2160"/>
      </w:pPr>
      <w:r>
        <w:t>B. Systematic Rejection of Filings Denied Meaningful Access</w:t>
      </w:r>
      <w:r>
        <w:tab/>
      </w:r>
      <w:r>
        <w:t>X</w:t>
      </w:r>
    </w:p>
    <w:p>
      <w:pPr>
        <w:tabs>
          <w:tab w:val="right" w:leader="dot" w:pos="9360"/>
        </w:tabs>
        <w:ind w:left="1440"/>
      </w:pPr>
      <w:r>
        <w:t>II. THE DISTRICT COURT ERRED IN FINDING NO DUE PROCESS VIOLATION</w:t>
      </w:r>
      <w:r>
        <w:tab/>
      </w:r>
      <w:r>
        <w:t>X</w:t>
      </w:r>
    </w:p>
    <w:p>
      <w:pPr>
        <w:tabs>
          <w:tab w:val="right" w:leader="dot" w:pos="9360"/>
        </w:tabs>
        <w:ind w:left="2160"/>
      </w:pPr>
      <w:r>
        <w:t>A. Unlawful Detention Beyond Court-Ordered Release Violated Due Process</w:t>
      </w:r>
      <w:r>
        <w:tab/>
      </w:r>
      <w:r>
        <w:t>X</w:t>
      </w:r>
    </w:p>
    <w:p>
      <w:pPr>
        <w:tabs>
          <w:tab w:val="right" w:leader="dot" w:pos="9360"/>
        </w:tabs>
        <w:ind w:left="2160"/>
      </w:pPr>
      <w:r>
        <w:t>B. Denial of Discovery 14 Times Violated Procedural Due Process</w:t>
      </w:r>
      <w:r>
        <w:tab/>
      </w:r>
      <w:r>
        <w:t>X</w:t>
      </w:r>
    </w:p>
    <w:p>
      <w:pPr>
        <w:tabs>
          <w:tab w:val="right" w:leader="dot" w:pos="9360"/>
        </w:tabs>
        <w:ind w:left="1440"/>
      </w:pPr>
      <w:r>
        <w:t>III. THE DISTRICT COURT ERRED IN DISMISSING MONELL CLAIMS</w:t>
      </w:r>
      <w:r>
        <w:tab/>
      </w:r>
      <w:r>
        <w:t>X</w:t>
      </w:r>
    </w:p>
    <w:p>
      <w:pPr>
        <w:tabs>
          <w:tab w:val="right" w:leader="dot" w:pos="9360"/>
        </w:tabs>
        <w:ind w:left="2160"/>
      </w:pPr>
      <w:r>
        <w:t>A. Appellant Sufficiently Alleged Official Policy or Custom</w:t>
      </w:r>
      <w:r>
        <w:tab/>
      </w:r>
      <w:r>
        <w:t>X</w:t>
      </w:r>
    </w:p>
    <w:p>
      <w:pPr>
        <w:tabs>
          <w:tab w:val="right" w:leader="dot" w:pos="9360"/>
        </w:tabs>
        <w:ind w:left="2160"/>
      </w:pPr>
      <w:r>
        <w:t>B. The Pattern of Conduct Shows Deliberate Indifference</w:t>
      </w:r>
      <w:r>
        <w:tab/>
      </w:r>
      <w:r>
        <w:t>X</w:t>
      </w:r>
    </w:p>
    <w:p>
      <w:pPr>
        <w:tabs>
          <w:tab w:val="right" w:leader="dot" w:pos="9360"/>
        </w:tabs>
        <w:ind w:left="720"/>
      </w:pPr>
      <w:r>
        <w:t>CONCLUSION</w:t>
      </w:r>
      <w:r>
        <w:tab/>
      </w:r>
      <w:r>
        <w:t>X</w:t>
      </w:r>
    </w:p>
    <w:p>
      <w:pPr>
        <w:tabs>
          <w:tab w:val="right" w:leader="dot" w:pos="9360"/>
        </w:tabs>
        <w:ind w:left="720"/>
      </w:pPr>
      <w:r>
        <w:t>STATEMENT OF RELATED CASES</w:t>
      </w:r>
      <w:r>
        <w:tab/>
      </w:r>
      <w:r>
        <w:t>X</w:t>
      </w:r>
    </w:p>
    <w:p>
      <w:pPr>
        <w:tabs>
          <w:tab w:val="right" w:leader="dot" w:pos="9360"/>
        </w:tabs>
        <w:ind w:left="720"/>
      </w:pPr>
      <w:r>
        <w:t>CERTIFICATE OF COMPLIANCE</w:t>
      </w:r>
      <w:r>
        <w:tab/>
      </w:r>
      <w:r>
        <w:t>X</w:t>
      </w:r>
    </w:p>
    <w:p>
      <w:pPr>
        <w:tabs>
          <w:tab w:val="right" w:leader="dot" w:pos="9360"/>
        </w:tabs>
        <w:ind w:left="720"/>
      </w:pPr>
      <w:r>
        <w:t>CERTIFICATE OF SERVICE</w:t>
      </w:r>
      <w:r>
        <w:tab/>
      </w:r>
      <w:r>
        <w:t>X</w:t>
      </w:r>
    </w:p>
    <w:p>
      <w:r>
        <w:br w:type="page"/>
      </w:r>
    </w:p>
    <w:p>
      <w:pPr>
        <w:pStyle w:val="Heading1"/>
        <w:spacing w:before="240" w:after="120"/>
      </w:pPr>
      <w:r>
        <w:rPr>
          <w:b/>
        </w:rPr>
        <w:t xml:space="preserve">TABLE OF AUTHORITIES</w:t>
      </w:r>
    </w:p>
    <w:p>
      <w:pPr>
        <w:pStyle w:val="Normal"/>
        <w:jc w:val="center"/>
        <w:spacing w:line="480" w:lineRule="auto"/>
      </w:pPr>
      <w:r>
        <w:rPr>
          <w:b/>
        </w:rPr>
        <w:t xml:space="preserve">Page(s)</w:t>
      </w:r>
    </w:p>
    <w:p>
      <w:pPr>
        <w:pStyle w:val="Normal"/>
        <w:spacing w:after="120" w:line="480" w:lineRule="auto"/>
      </w:pPr>
      <w:r>
        <w:rPr>
          <w:b/>
        </w:rPr>
        <w:t xml:space="preserve">Cases</w:t>
      </w:r>
    </w:p>
    <w:p>
      <w:pPr>
        <w:tabs>
          <w:tab w:val="right" w:leader="dot" w:pos="9360"/>
        </w:tabs>
        <w:ind w:left="720"/>
      </w:pPr>
      <w:r>
        <w:t>Ashcroft v. Iqbal, 556 U.S. 662 (2009)</w:t>
      </w:r>
      <w:r>
        <w:tab/>
      </w:r>
      <w:r>
        <w:t>4, 7, 12</w:t>
      </w:r>
    </w:p>
    <w:p>
      <w:pPr>
        <w:tabs>
          <w:tab w:val="right" w:leader="dot" w:pos="9360"/>
        </w:tabs>
        <w:ind w:left="720"/>
      </w:pPr>
      <w:r>
        <w:t>Bell Atl. Corp. v. Twombly, 550 U.S. 544 (2007)</w:t>
      </w:r>
      <w:r>
        <w:tab/>
      </w:r>
      <w:r>
        <w:t>4, 6</w:t>
      </w:r>
    </w:p>
    <w:p>
      <w:pPr>
        <w:tabs>
          <w:tab w:val="right" w:leader="dot" w:pos="9360"/>
        </w:tabs>
        <w:ind w:left="720"/>
      </w:pPr>
      <w:r>
        <w:t>Bounds v. Smith, 430 U.S. 817 (1977)</w:t>
      </w:r>
      <w:r>
        <w:tab/>
      </w:r>
      <w:r>
        <w:t>8, 13, 15</w:t>
      </w:r>
    </w:p>
    <w:p>
      <w:pPr>
        <w:tabs>
          <w:tab w:val="right" w:leader="dot" w:pos="9360"/>
        </w:tabs>
        <w:ind w:left="720"/>
      </w:pPr>
      <w:r>
        <w:t>Ex parte Young, 209 U.S. 123 (1908)</w:t>
      </w:r>
      <w:r>
        <w:tab/>
      </w:r>
      <w:r>
        <w:t>11, 14</w:t>
      </w:r>
    </w:p>
    <w:p>
      <w:pPr>
        <w:tabs>
          <w:tab w:val="right" w:leader="dot" w:pos="9360"/>
        </w:tabs>
        <w:ind w:left="720"/>
      </w:pPr>
      <w:r>
        <w:t>Mathews v. Eldridge, 424 U.S. 319 (1976)</w:t>
      </w:r>
      <w:r>
        <w:tab/>
      </w:r>
      <w:r>
        <w:t>9, 13</w:t>
      </w:r>
    </w:p>
    <w:p>
      <w:pPr>
        <w:tabs>
          <w:tab w:val="right" w:leader="dot" w:pos="9360"/>
        </w:tabs>
        <w:ind w:left="720"/>
      </w:pPr>
      <w:r>
        <w:t>Monell v. Dep't of Soc. Servs., 436 U.S. 658 (1978)</w:t>
      </w:r>
      <w:r>
        <w:tab/>
      </w:r>
      <w:r>
        <w:t>8, 11, 16</w:t>
      </w:r>
    </w:p>
    <w:p>
      <w:pPr>
        <w:tabs>
          <w:tab w:val="right" w:leader="dot" w:pos="9360"/>
        </w:tabs>
        <w:ind w:left="720"/>
      </w:pPr>
      <w:r>
        <w:t>Thompson v. Clark, 142 S. Ct. 1332 (2022)</w:t>
      </w:r>
      <w:r>
        <w:tab/>
      </w:r>
      <w:r>
        <w:t>14</w:t>
      </w:r>
    </w:p>
    <w:p>
      <w:pPr>
        <w:tabs>
          <w:tab w:val="right" w:leader="dot" w:pos="9360"/>
        </w:tabs>
        <w:ind w:left="720"/>
      </w:pPr>
      <w:r>
        <w:t>Zinermon v. Burch, 494 U.S. 113 (1990)</w:t>
      </w:r>
      <w:r>
        <w:tab/>
      </w:r>
      <w:r>
        <w:t>12</w:t>
      </w:r>
    </w:p>
    <w:p>
      <w:pPr>
        <w:pStyle w:val="Normal"/>
        <w:spacing w:line="480" w:lineRule="auto"/>
      </w:pPr>
      <w:r>
        <w:t xml:space="preserve"/>
      </w:r>
    </w:p>
    <w:p>
      <w:pPr>
        <w:pStyle w:val="Normal"/>
        <w:spacing w:after="120" w:line="480" w:lineRule="auto"/>
      </w:pPr>
      <w:r>
        <w:rPr>
          <w:b/>
        </w:rPr>
        <w:t xml:space="preserve">Statutes</w:t>
      </w:r>
    </w:p>
    <w:p>
      <w:pPr>
        <w:tabs>
          <w:tab w:val="right" w:leader="dot" w:pos="9360"/>
        </w:tabs>
        <w:ind w:left="720"/>
      </w:pPr>
      <w:r>
        <w:t>42 U.S.C. § 1983</w:t>
      </w:r>
      <w:r>
        <w:tab/>
      </w:r>
      <w:r>
        <w:t>1, 7, 8, 11</w:t>
      </w:r>
    </w:p>
    <w:p>
      <w:pPr>
        <w:tabs>
          <w:tab w:val="right" w:leader="dot" w:pos="9360"/>
        </w:tabs>
        <w:ind w:left="720"/>
      </w:pPr>
      <w:r>
        <w:t>28 U.S.C. § 1331</w:t>
      </w:r>
      <w:r>
        <w:tab/>
      </w:r>
      <w:r>
        <w:t>2</w:t>
      </w:r>
    </w:p>
    <w:p>
      <w:pPr>
        <w:tabs>
          <w:tab w:val="right" w:leader="dot" w:pos="9360"/>
        </w:tabs>
        <w:ind w:left="720"/>
      </w:pPr>
      <w:r>
        <w:t>28 U.S.C. § 1291</w:t>
      </w:r>
      <w:r>
        <w:tab/>
      </w:r>
      <w:r>
        <w:t>2</w:t>
      </w:r>
    </w:p>
    <w:p>
      <w:pPr>
        <w:pStyle w:val="Normal"/>
        <w:spacing w:line="480" w:lineRule="auto"/>
      </w:pPr>
      <w:r>
        <w:t xml:space="preserve"/>
      </w:r>
    </w:p>
    <w:p>
      <w:pPr>
        <w:pStyle w:val="Normal"/>
        <w:spacing w:after="120" w:line="480" w:lineRule="auto"/>
      </w:pPr>
      <w:r>
        <w:rPr>
          <w:b/>
        </w:rPr>
        <w:t xml:space="preserve">Rules</w:t>
      </w:r>
    </w:p>
    <w:p>
      <w:pPr>
        <w:tabs>
          <w:tab w:val="right" w:leader="dot" w:pos="9360"/>
        </w:tabs>
        <w:ind w:left="720"/>
      </w:pPr>
      <w:r>
        <w:t>Fed. R. App. P. 4(a)(1)(A)</w:t>
      </w:r>
      <w:r>
        <w:tab/>
      </w:r>
      <w:r>
        <w:t>2</w:t>
      </w:r>
    </w:p>
    <w:p>
      <w:pPr>
        <w:tabs>
          <w:tab w:val="right" w:leader="dot" w:pos="9360"/>
        </w:tabs>
        <w:ind w:left="720"/>
      </w:pPr>
      <w:r>
        <w:t>Fed. R. Civ. P. 12(b)(6)</w:t>
      </w:r>
      <w:r>
        <w:tab/>
      </w:r>
      <w:r>
        <w:t>3, 6, 10</w:t>
      </w:r>
    </w:p>
    <w:p>
      <w:pPr>
        <w:pStyle w:val="Normal"/>
        <w:spacing w:line="480" w:lineRule="auto"/>
      </w:pPr>
      <w:r>
        <w:t xml:space="preserve"/>
      </w:r>
    </w:p>
    <w:p>
      <w:pPr>
        <w:pStyle w:val="Normal"/>
        <w:spacing w:after="120" w:line="480" w:lineRule="auto"/>
      </w:pPr>
      <w:r>
        <w:rPr>
          <w:b/>
        </w:rPr>
        <w:t xml:space="preserve">Constitutional Provisions</w:t>
      </w:r>
    </w:p>
    <w:p>
      <w:pPr>
        <w:tabs>
          <w:tab w:val="right" w:leader="dot" w:pos="9360"/>
        </w:tabs>
        <w:ind w:left="720"/>
      </w:pPr>
      <w:r>
        <w:t>U.S. Const. amend. I</w:t>
      </w:r>
      <w:r>
        <w:tab/>
      </w:r>
      <w:r>
        <w:t>8, 13</w:t>
      </w:r>
    </w:p>
    <w:p>
      <w:pPr>
        <w:tabs>
          <w:tab w:val="right" w:leader="dot" w:pos="9360"/>
        </w:tabs>
        <w:ind w:left="720"/>
      </w:pPr>
      <w:r>
        <w:t>U.S. Const. amend. IV</w:t>
      </w:r>
      <w:r>
        <w:tab/>
      </w:r>
      <w:r>
        <w:t>3, 7</w:t>
      </w:r>
    </w:p>
    <w:p>
      <w:pPr>
        <w:tabs>
          <w:tab w:val="right" w:leader="dot" w:pos="9360"/>
        </w:tabs>
        <w:ind w:left="720"/>
      </w:pPr>
      <w:r>
        <w:t>U.S. Const. amend. V</w:t>
      </w:r>
      <w:r>
        <w:tab/>
      </w:r>
      <w:r>
        <w:t>3</w:t>
      </w:r>
    </w:p>
    <w:p>
      <w:pPr>
        <w:tabs>
          <w:tab w:val="right" w:leader="dot" w:pos="9360"/>
        </w:tabs>
        <w:ind w:left="720"/>
      </w:pPr>
      <w:r>
        <w:t>U.S. Const. amend. VI</w:t>
      </w:r>
      <w:r>
        <w:tab/>
      </w:r>
      <w:r>
        <w:t>3</w:t>
      </w:r>
    </w:p>
    <w:p>
      <w:pPr>
        <w:tabs>
          <w:tab w:val="right" w:leader="dot" w:pos="9360"/>
        </w:tabs>
        <w:ind w:left="720"/>
      </w:pPr>
      <w:r>
        <w:t>U.S. Const. amend. XIV</w:t>
      </w:r>
      <w:r>
        <w:tab/>
      </w:r>
      <w:r>
        <w:t>3, 8, 12, 13</w:t>
      </w:r>
    </w:p>
    <w:p>
      <w:r>
        <w:br w:type="page"/>
      </w:r>
    </w:p>
    <w:p>
      <w:pPr>
        <w:pStyle w:val="Heading1"/>
        <w:spacing w:before="240" w:after="120"/>
      </w:pPr>
      <w:r>
        <w:rPr>
          <w:b/>
        </w:rPr>
        <w:t xml:space="preserve">INTRODUCTION</w:t>
      </w:r>
    </w:p>
    <w:p>
      <w:pPr>
        <w:pStyle w:val="Normal"/>
        <w:spacing w:after="240" w:line="480" w:lineRule="auto"/>
      </w:pPr>
      <w:r>
        <w:t xml:space="preserve">[Draft your introduction here - max 2 pages]</w:t>
      </w:r>
    </w:p>
    <w:p>
      <w:pPr>
        <w:pStyle w:val="Normal"/>
        <w:spacing w:after="240" w:line="480" w:lineRule="auto"/>
      </w:pPr>
      <w:r>
        <w:t xml:space="preserve">This appeal arises from the district court's dismissal of Appellant's civil rights claims. The systematic denial of access to courts, destruction of legal files, and prolonged unlawful detention after court-ordered release demonstrate clear constitutional violations that the district court erroneously dismissed.</w:t>
      </w:r>
    </w:p>
    <w:p>
      <w:r>
        <w:br w:type="page"/>
      </w:r>
    </w:p>
    <w:p>
      <w:pPr>
        <w:pStyle w:val="Heading1"/>
        <w:spacing w:before="240" w:after="120"/>
      </w:pPr>
      <w:r>
        <w:rPr>
          <w:b/>
        </w:rPr>
        <w:t xml:space="preserve">JURISDICTIONAL STATEMENT</w:t>
      </w:r>
    </w:p>
    <w:p>
      <w:pPr>
        <w:pStyle w:val="Normal"/>
        <w:spacing w:after="240" w:line="480" w:lineRule="auto"/>
      </w:pPr>
      <w:r>
        <w:t xml:space="preserve">The district court had jurisdiction pursuant to 28 U.S.C. § 1331 (federal question).</w:t>
      </w:r>
    </w:p>
    <w:p>
      <w:pPr>
        <w:pStyle w:val="Normal"/>
        <w:spacing w:after="240" w:line="480" w:lineRule="auto"/>
      </w:pPr>
      <w:r>
        <w:t xml:space="preserve">This Court has jurisdiction pursuant to 28 U.S.C. § 1291 (final judgment).</w:t>
      </w:r>
    </w:p>
    <w:p>
      <w:pPr>
        <w:pStyle w:val="Normal"/>
        <w:spacing w:after="240" w:line="480" w:lineRule="auto"/>
      </w:pPr>
      <w:r>
        <w:t xml:space="preserve">The district court entered its final judgment on 2024-08-07. Appellant timely filed a notice of appeal on 2024-09-05 pursuant to FRAP 4(a)(1)(A).</w:t>
      </w:r>
    </w:p>
    <w:p>
      <w:pPr>
        <w:pStyle w:val="Normal"/>
        <w:spacing w:after="240" w:line="480" w:lineRule="auto"/>
      </w:pPr>
      <w:r>
        <w:t xml:space="preserve">The appeal is from a final order disposing of all parties' claims.</w:t>
      </w:r>
    </w:p>
    <w:p>
      <w:r>
        <w:br w:type="page"/>
      </w:r>
    </w:p>
    <w:p>
      <w:pPr>
        <w:pStyle w:val="Heading1"/>
        <w:spacing w:before="240" w:after="120"/>
      </w:pPr>
      <w:r>
        <w:rPr>
          <w:b/>
        </w:rPr>
        <w:t xml:space="preserve">ISSUES PRESENTED</w:t>
      </w:r>
    </w:p>
    <w:p>
      <w:pPr>
        <w:pStyle w:val="Normal"/>
        <w:spacing w:after="240" w:line="480" w:lineRule="auto"/>
      </w:pPr>
      <w:r>
        <w:t xml:space="preserve">1. Whether the district court erred in dismissing Appellant's claims where systematic denial of access to legal resources, destruction of 62 legal files, and rejection of filings without explanation violated the constitutional right of access to courts under the First and Fourteenth Amendments.</w:t>
      </w:r>
    </w:p>
    <w:p>
      <w:pPr>
        <w:pStyle w:val="Normal"/>
        <w:spacing w:after="240" w:line="480" w:lineRule="auto"/>
      </w:pPr>
      <w:r>
        <w:t xml:space="preserve">2. Whether the district court erred in finding no due process violation where Appellant was unlawfully detained seven days beyond the court-ordered release date, denied discovery 14 times, and had critical evidence destroyed by jail officials.</w:t>
      </w:r>
    </w:p>
    <w:p>
      <w:pPr>
        <w:pStyle w:val="Normal"/>
        <w:spacing w:after="240" w:line="480" w:lineRule="auto"/>
      </w:pPr>
      <w:r>
        <w:t xml:space="preserve">3. Whether the district court erred in dismissing Monell claims against Clackamas County where Appellant sufficiently alleged a pattern and practice of constitutional violations constituting official policy.</w:t>
      </w:r>
    </w:p>
    <w:p>
      <w:r>
        <w:br w:type="page"/>
      </w:r>
    </w:p>
    <w:p>
      <w:pPr>
        <w:pStyle w:val="Heading1"/>
        <w:spacing w:before="240" w:after="120"/>
      </w:pPr>
      <w:r>
        <w:rPr>
          <w:b/>
        </w:rPr>
        <w:t xml:space="preserve">STATEMENT OF THE CASE</w:t>
      </w:r>
    </w:p>
    <w:p>
      <w:pPr>
        <w:pStyle w:val="Normal"/>
        <w:spacing w:after="240" w:line="480" w:lineRule="auto"/>
      </w:pPr>
      <w:r>
        <w:t xml:space="preserve">Appellant's filings were ignored or rejected approximately 150 times (ER-160.)</w:t>
      </w:r>
    </w:p>
    <w:p>
      <w:pPr>
        <w:pStyle w:val="Normal"/>
        <w:spacing w:after="240" w:line="480" w:lineRule="auto"/>
      </w:pPr>
      <w:r>
        <w:t xml:space="preserve">Police reports show officers made selective statements violating department policy (ER-45.)</w:t>
      </w:r>
    </w:p>
    <w:p>
      <w:pPr>
        <w:pStyle w:val="Normal"/>
        <w:spacing w:after="240" w:line="480" w:lineRule="auto"/>
      </w:pPr>
      <w:r>
        <w:t xml:space="preserve">Officers Gunnarson and Blyth arrested Appellant without a warrant (ER-12.)</w:t>
      </w:r>
    </w:p>
    <w:p>
      <w:pPr>
        <w:pStyle w:val="Normal"/>
        <w:spacing w:after="240" w:line="480" w:lineRule="auto"/>
      </w:pPr>
      <w:r>
        <w:t xml:space="preserve">Appellant's discovery requests were denied 14 times while incarcerated (ER-130.)</w:t>
      </w:r>
    </w:p>
    <w:p>
      <w:pPr>
        <w:pStyle w:val="Normal"/>
        <w:spacing w:after="240" w:line="480" w:lineRule="auto"/>
      </w:pPr>
      <w:r>
        <w:t xml:space="preserve">Appellant was re-arrested by John Doe Officers 1 and 2 (ER-78.)</w:t>
      </w:r>
    </w:p>
    <w:p>
      <w:pPr>
        <w:pStyle w:val="Normal"/>
        <w:spacing w:after="240" w:line="480" w:lineRule="auto"/>
      </w:pPr>
      <w:r>
        <w:t xml:space="preserve">DA Rebecca Portlock and court-appointed advisor Rubin Medina colluded to delay trial (ER-89.)</w:t>
      </w:r>
    </w:p>
    <w:p>
      <w:pPr>
        <w:pStyle w:val="Normal"/>
        <w:spacing w:after="240" w:line="480" w:lineRule="auto"/>
      </w:pPr>
      <w:r>
        <w:t xml:space="preserve">At 5:10 PM during dinner lockdown, a jail guard deleted 62 of Appellant's legal files (ER-102.)</w:t>
      </w:r>
    </w:p>
    <w:p>
      <w:pPr>
        <w:pStyle w:val="Normal"/>
        <w:spacing w:after="240" w:line="480" w:lineRule="auto"/>
      </w:pPr>
      <w:r>
        <w:t xml:space="preserve">Court ordered Appellant's release, but jail continued detention for seven additional days (ER-115.)</w:t>
      </w:r>
    </w:p>
    <w:p>
      <w:pPr>
        <w:pStyle w:val="Normal"/>
        <w:spacing w:after="240" w:line="480" w:lineRule="auto"/>
      </w:pPr>
      <w:r>
        <w:t xml:space="preserve">State case was dismissed, marking the state's fault (ER-120.)</w:t>
      </w:r>
    </w:p>
    <w:p>
      <w:r>
        <w:br w:type="page"/>
      </w:r>
    </w:p>
    <w:p>
      <w:pPr>
        <w:pStyle w:val="Heading1"/>
        <w:spacing w:before="240" w:after="120"/>
      </w:pPr>
      <w:r>
        <w:rPr>
          <w:b/>
        </w:rPr>
        <w:t xml:space="preserve">SUMMARY OF THE ARGUMENT</w:t>
      </w:r>
    </w:p>
    <w:p>
      <w:pPr>
        <w:pStyle w:val="Normal"/>
        <w:spacing w:after="240" w:line="480" w:lineRule="auto"/>
      </w:pPr>
      <w:r>
        <w:t xml:space="preserve">[Draft summary here - should mirror Argument section structure]</w:t>
      </w:r>
    </w:p>
    <w:p>
      <w:pPr>
        <w:pStyle w:val="Normal"/>
        <w:spacing w:after="240" w:line="480" w:lineRule="auto"/>
      </w:pPr>
      <w:r>
        <w:t xml:space="preserve">I. The district court erred in dismissing access to courts claims because the destruction of 62 legal files and systematic rejection of filings caused actual injury to Appellant's ability to pursue legal remedies.</w:t>
      </w:r>
    </w:p>
    <w:p>
      <w:pPr>
        <w:pStyle w:val="Normal"/>
        <w:spacing w:after="240" w:line="480" w:lineRule="auto"/>
      </w:pPr>
      <w:r>
        <w:t xml:space="preserve">II. The district court erred in finding no due process violation because Appellant was held seven days beyond his court-ordered release date and was denied discovery fourteen times.</w:t>
      </w:r>
    </w:p>
    <w:p>
      <w:pPr>
        <w:pStyle w:val="Normal"/>
        <w:spacing w:after="240" w:line="480" w:lineRule="auto"/>
      </w:pPr>
      <w:r>
        <w:t xml:space="preserve">III. The district court erred in dismissing Monell claims because Appellant sufficiently alleged official policy through the pattern of constitutional violations by county officials.</w:t>
      </w:r>
    </w:p>
    <w:p>
      <w:r>
        <w:br w:type="page"/>
      </w:r>
    </w:p>
    <w:p>
      <w:pPr>
        <w:pStyle w:val="Heading1"/>
        <w:spacing w:before="240" w:after="120"/>
      </w:pPr>
      <w:r>
        <w:rPr>
          <w:b/>
        </w:rPr>
        <w:t xml:space="preserve">STANDARD OF REVIEW</w:t>
      </w:r>
    </w:p>
    <w:p>
      <w:pPr>
        <w:pStyle w:val="Normal"/>
        <w:spacing w:after="240" w:line="480" w:lineRule="auto"/>
      </w:pPr>
      <w:r>
        <w:t xml:space="preserve">This Court reviews Access to Courts, Due Process Violations, Municipal Liability de novo. Pierce v. Multnomah County, 76 F.3d 1032, 1037 (9th Cir. 1996)</w:t>
      </w:r>
    </w:p>
    <w:p>
      <w:r>
        <w:br w:type="page"/>
      </w:r>
    </w:p>
    <w:p>
      <w:pPr>
        <w:pStyle w:val="Heading1"/>
        <w:spacing w:before="240" w:after="120"/>
      </w:pPr>
      <w:r>
        <w:rPr>
          <w:b/>
        </w:rPr>
        <w:t xml:space="preserve">ARGUMENT</w:t>
      </w:r>
    </w:p>
    <w:p>
      <w:pPr>
        <w:pStyle w:val="Heading2"/>
        <w:spacing w:before="240" w:after="120"/>
      </w:pPr>
      <w:r>
        <w:rPr>
          <w:b/>
        </w:rPr>
        <w:t xml:space="preserve">I. THE DISTRICT COURT ERRED IN DISMISSING APPELLANT'S ACCESS TO COURTS CLAIMS</w:t>
      </w:r>
    </w:p>
    <w:p>
      <w:pPr>
        <w:pStyle w:val="Normal"/>
        <w:spacing w:after="240" w:line="480" w:lineRule="auto"/>
      </w:pPr>
      <w:r>
        <w:t xml:space="preserve">[Insert argument text for THE DISTRICT COURT ERRED IN DISMISSING APPELLANT'S ACCESS TO COURTS CLAIMS]</w:t>
      </w:r>
    </w:p>
    <w:p>
      <w:pPr>
        <w:pStyle w:val="Normal"/>
        <w:spacing w:after="240" w:line="480" w:lineRule="auto"/>
      </w:pPr>
      <w:r>
        <w:t xml:space="preserve">Officers Gunnarson and Blyth arrested Appellant without a warrant (ER-12.)</w:t>
      </w:r>
    </w:p>
    <w:p>
      <w:pPr>
        <w:pStyle w:val="Heading3"/>
        <w:spacing w:before="240" w:after="120"/>
      </w:pPr>
      <w:r>
        <w:rPr/>
        <w:t xml:space="preserve">A. The Destruction of 62 Legal Files Constituted Actual Injury</w:t>
      </w:r>
    </w:p>
    <w:p>
      <w:pPr>
        <w:pStyle w:val="Normal"/>
        <w:spacing w:after="240" w:line="480" w:lineRule="auto"/>
      </w:pPr>
      <w:r>
        <w:t xml:space="preserve">[Draft argument I.A here]</w:t>
      </w:r>
    </w:p>
    <w:p>
      <w:pPr>
        <w:pStyle w:val="Normal"/>
        <w:spacing w:after="240" w:line="480" w:lineRule="auto"/>
      </w:pPr>
      <w:r>
        <w:t xml:space="preserve">The Supreme Court has recognized that prisoners have a constitutional right of access to the courts. Bounds v. Smith, 430 U.S. 817, 821 (1977). To state a claim for denial of access to courts, a plaintiff must show actual injury—that the defendant's actions hindered the plaintiff's efforts to pursue a nonfrivolous legal claim. Lewis v. Casey, 518 U.S. 343, 351 (1996).</w:t>
      </w:r>
    </w:p>
    <w:p>
      <w:pPr>
        <w:pStyle w:val="Normal"/>
        <w:spacing w:after="240" w:line="480" w:lineRule="auto"/>
      </w:pPr>
      <w:r>
        <w:t xml:space="preserve">Here, on June 20, 2022, at 5:10 PM, a jail guard deliberately deleted 62 of Appellant's legal files during dinner lockdown. (ER-102.) These files contained critical evidence and legal arguments for Appellant's pending claims. The deletion occurred while Appellant was confined and unable to protect his property.</w:t>
      </w:r>
    </w:p>
    <w:p>
      <w:pPr>
        <w:pStyle w:val="Normal"/>
        <w:spacing w:after="240" w:line="480" w:lineRule="auto"/>
      </w:pPr>
      <w:r>
        <w:t xml:space="preserve">This destruction directly caused actual injury...</w:t>
      </w:r>
    </w:p>
    <w:p>
      <w:pPr>
        <w:pStyle w:val="Normal"/>
        <w:spacing w:after="240" w:line="480" w:lineRule="auto"/>
      </w:pPr>
      <w:r>
        <w:t xml:space="preserve">At 5:10 PM during dinner lockdown, a jail guard deleted 62 of Appellant's legal files (ER-102.)</w:t>
      </w:r>
    </w:p>
    <w:p>
      <w:pPr>
        <w:pStyle w:val="Normal"/>
        <w:spacing w:after="240" w:line="480" w:lineRule="auto"/>
      </w:pPr>
      <w:r>
        <w:t xml:space="preserve">Authorities: Bounds v. Smith, Lewis v. Casey</w:t>
      </w:r>
    </w:p>
    <w:p>
      <w:pPr>
        <w:pStyle w:val="Heading3"/>
        <w:spacing w:before="240" w:after="120"/>
      </w:pPr>
      <w:r>
        <w:rPr/>
        <w:t xml:space="preserve">B. Systematic Rejection of Filings Denied Meaningful Access</w:t>
      </w:r>
    </w:p>
    <w:p>
      <w:pPr>
        <w:pStyle w:val="Normal"/>
        <w:spacing w:after="240" w:line="480" w:lineRule="auto"/>
      </w:pPr>
      <w:r>
        <w:t xml:space="preserve">[Draft argument I.B here]</w:t>
      </w:r>
    </w:p>
    <w:p>
      <w:pPr>
        <w:pStyle w:val="Normal"/>
        <w:spacing w:after="240" w:line="480" w:lineRule="auto"/>
      </w:pPr>
      <w:r>
        <w:t xml:space="preserve">Beyond the destruction of files, Appellant faced systematic rejection of his court filings without explanation. Despite numerous attempts to file responses through PACER, documents were repeatedly rejected. (ER-XX.)</w:t>
      </w:r>
    </w:p>
    <w:p>
      <w:pPr>
        <w:pStyle w:val="Normal"/>
        <w:spacing w:after="240" w:line="480" w:lineRule="auto"/>
      </w:pPr>
      <w:r>
        <w:t xml:space="preserve">The automated rejection of filings without human review or explanation constitutes a denial of meaningful access to courts...</w:t>
      </w:r>
    </w:p>
    <w:p>
      <w:pPr>
        <w:pStyle w:val="Normal"/>
        <w:spacing w:after="240" w:line="480" w:lineRule="auto"/>
      </w:pPr>
      <w:r>
        <w:t xml:space="preserve">Appellant's filings were ignored or rejected approximately 150 times (ER-160.)</w:t>
      </w:r>
    </w:p>
    <w:p>
      <w:pPr>
        <w:pStyle w:val="Normal"/>
        <w:spacing w:after="240" w:line="480" w:lineRule="auto"/>
      </w:pPr>
      <w:r>
        <w:t xml:space="preserve">Authorities: Bounds v. Smith, Christopher v. Harbury</w:t>
      </w:r>
    </w:p>
    <w:p>
      <w:pPr>
        <w:pStyle w:val="Heading2"/>
        <w:spacing w:before="240" w:after="120"/>
      </w:pPr>
      <w:r>
        <w:rPr>
          <w:b/>
        </w:rPr>
        <w:t xml:space="preserve">II. THE DISTRICT COURT ERRED IN FINDING NO DUE PROCESS VIOLATION</w:t>
      </w:r>
    </w:p>
    <w:p>
      <w:pPr>
        <w:pStyle w:val="Normal"/>
        <w:spacing w:after="240" w:line="480" w:lineRule="auto"/>
      </w:pPr>
      <w:r>
        <w:t xml:space="preserve">[Insert argument text for THE DISTRICT COURT ERRED IN FINDING NO DUE PROCESS VIOLATION]</w:t>
      </w:r>
    </w:p>
    <w:p>
      <w:pPr>
        <w:pStyle w:val="Normal"/>
        <w:spacing w:after="240" w:line="480" w:lineRule="auto"/>
      </w:pPr>
      <w:r>
        <w:t xml:space="preserve">Appellant was re-arrested by John Doe Officers 1 and 2 (ER-78.)</w:t>
      </w:r>
    </w:p>
    <w:p>
      <w:pPr>
        <w:pStyle w:val="Normal"/>
        <w:spacing w:after="240" w:line="480" w:lineRule="auto"/>
      </w:pPr>
      <w:r>
        <w:t xml:space="preserve">DA Rebecca Portlock and court-appointed advisor Rubin Medina colluded to delay trial (ER-89.)</w:t>
      </w:r>
    </w:p>
    <w:p>
      <w:pPr>
        <w:pStyle w:val="Normal"/>
        <w:spacing w:after="240" w:line="480" w:lineRule="auto"/>
      </w:pPr>
      <w:r>
        <w:t xml:space="preserve">State case was dismissed, marking the state's fault (ER-120.)</w:t>
      </w:r>
    </w:p>
    <w:p>
      <w:pPr>
        <w:pStyle w:val="Heading3"/>
        <w:spacing w:before="240" w:after="120"/>
      </w:pPr>
      <w:r>
        <w:rPr/>
        <w:t xml:space="preserve">A. Unlawful Detention Beyond Court-Ordered Release Violated Due Process</w:t>
      </w:r>
    </w:p>
    <w:p>
      <w:pPr>
        <w:pStyle w:val="Normal"/>
        <w:spacing w:after="240" w:line="480" w:lineRule="auto"/>
      </w:pPr>
      <w:r>
        <w:t xml:space="preserve">[Draft argument II.A here]</w:t>
      </w:r>
    </w:p>
    <w:p>
      <w:pPr>
        <w:pStyle w:val="Normal"/>
        <w:spacing w:after="240" w:line="480" w:lineRule="auto"/>
      </w:pPr>
      <w:r>
        <w:t xml:space="preserve">On July 1, 2022, the court ordered Appellant's release. (ER-115.) Despite this order, the jail continued to detain Appellant for an additional seven days.</w:t>
      </w:r>
    </w:p>
    <w:p>
      <w:pPr>
        <w:pStyle w:val="Normal"/>
        <w:spacing w:after="240" w:line="480" w:lineRule="auto"/>
      </w:pPr>
      <w:r>
        <w:t xml:space="preserve">The Fourteenth Amendment prohibits the deprivation of liberty without due process of law. Zinermon v. Burch, 494 U.S. 113, 125 (1990). Continued detention after a court order for release is a clear deprivation of liberty...</w:t>
      </w:r>
    </w:p>
    <w:p>
      <w:pPr>
        <w:pStyle w:val="Normal"/>
        <w:spacing w:after="240" w:line="480" w:lineRule="auto"/>
      </w:pPr>
      <w:r>
        <w:t xml:space="preserve">Court ordered Appellant's release, but jail continued detention for seven additional days (ER-115.)</w:t>
      </w:r>
    </w:p>
    <w:p>
      <w:pPr>
        <w:pStyle w:val="Normal"/>
        <w:spacing w:after="240" w:line="480" w:lineRule="auto"/>
      </w:pPr>
      <w:r>
        <w:t xml:space="preserve">Authorities: Zinermon v. Burch, Mathews v. Eldridge</w:t>
      </w:r>
    </w:p>
    <w:p>
      <w:pPr>
        <w:pStyle w:val="Heading3"/>
        <w:spacing w:before="240" w:after="120"/>
      </w:pPr>
      <w:r>
        <w:rPr/>
        <w:t xml:space="preserve">B. Denial of Discovery 14 Times Violated Procedural Due Process</w:t>
      </w:r>
    </w:p>
    <w:p>
      <w:pPr>
        <w:pStyle w:val="Normal"/>
        <w:spacing w:after="240" w:line="480" w:lineRule="auto"/>
      </w:pPr>
      <w:r>
        <w:t xml:space="preserve">[Draft argument II.B here]</w:t>
      </w:r>
    </w:p>
    <w:p>
      <w:pPr>
        <w:pStyle w:val="Normal"/>
        <w:spacing w:after="240" w:line="480" w:lineRule="auto"/>
      </w:pPr>
      <w:r>
        <w:t xml:space="preserve">Appellant's discovery requests were denied fourteen times while he was incarcerated and proceeding pro se. (ER-XX.) Procedural due process requires notice and an opportunity to be heard at a meaningful time and in a meaningful manner. Mathews v. Eldridge, 424 U.S. 319, 333 (1976).</w:t>
      </w:r>
    </w:p>
    <w:p>
      <w:pPr>
        <w:pStyle w:val="Normal"/>
        <w:spacing w:after="240" w:line="480" w:lineRule="auto"/>
      </w:pPr>
      <w:r>
        <w:t xml:space="preserve">The systematic denial of discovery prevented Appellant from gathering evidence necessary to support his claims...</w:t>
      </w:r>
    </w:p>
    <w:p>
      <w:pPr>
        <w:pStyle w:val="Normal"/>
        <w:spacing w:after="240" w:line="480" w:lineRule="auto"/>
      </w:pPr>
      <w:r>
        <w:t xml:space="preserve">Appellant's discovery requests were denied 14 times while incarcerated (ER-130.)</w:t>
      </w:r>
    </w:p>
    <w:p>
      <w:pPr>
        <w:pStyle w:val="Normal"/>
        <w:spacing w:after="240" w:line="480" w:lineRule="auto"/>
      </w:pPr>
      <w:r>
        <w:t xml:space="preserve">Authorities: Mathews v. Eldridge</w:t>
      </w:r>
    </w:p>
    <w:p>
      <w:pPr>
        <w:pStyle w:val="Heading2"/>
        <w:spacing w:before="240" w:after="120"/>
      </w:pPr>
      <w:r>
        <w:rPr>
          <w:b/>
        </w:rPr>
        <w:t xml:space="preserve">III. THE DISTRICT COURT ERRED IN DISMISSING MONELL CLAIMS</w:t>
      </w:r>
    </w:p>
    <w:p>
      <w:pPr>
        <w:pStyle w:val="Normal"/>
        <w:spacing w:after="240" w:line="480" w:lineRule="auto"/>
      </w:pPr>
      <w:r>
        <w:t xml:space="preserve">[Insert argument text for THE DISTRICT COURT ERRED IN DISMISSING MONELL CLAIMS]</w:t>
      </w:r>
    </w:p>
    <w:p>
      <w:pPr>
        <w:pStyle w:val="Normal"/>
        <w:spacing w:after="240" w:line="480" w:lineRule="auto"/>
      </w:pPr>
      <w:r>
        <w:t xml:space="preserve">Police reports show officers made selective statements violating department policy (ER-45.)</w:t>
      </w:r>
    </w:p>
    <w:p>
      <w:pPr>
        <w:pStyle w:val="Heading3"/>
        <w:spacing w:before="240" w:after="120"/>
      </w:pPr>
      <w:r>
        <w:rPr/>
        <w:t xml:space="preserve">A. Appellant Sufficiently Alleged Official Policy or Custom</w:t>
      </w:r>
    </w:p>
    <w:p>
      <w:pPr>
        <w:pStyle w:val="Normal"/>
        <w:spacing w:after="240" w:line="480" w:lineRule="auto"/>
      </w:pPr>
      <w:r>
        <w:t xml:space="preserve">[Draft argument III.A here]</w:t>
      </w:r>
    </w:p>
    <w:p>
      <w:pPr>
        <w:pStyle w:val="Normal"/>
        <w:spacing w:after="240" w:line="480" w:lineRule="auto"/>
      </w:pPr>
      <w:r>
        <w:t xml:space="preserve">Under Monell v. Department of Social Services, 436 U.S. 658 (1978), municipalities may be held liable under § 1983 when an official policy or custom causes a constitutional violation.</w:t>
      </w:r>
    </w:p>
    <w:p>
      <w:pPr>
        <w:pStyle w:val="Normal"/>
        <w:spacing w:after="240" w:line="480" w:lineRule="auto"/>
      </w:pPr>
      <w:r>
        <w:t xml:space="preserve">Appellant alleged that the pattern of conduct by Clackamas County officials—including the destruction of legal files, denial of discovery, and unlawful detention—constitutes an official policy or custom...</w:t>
      </w:r>
    </w:p>
    <w:p>
      <w:pPr>
        <w:pStyle w:val="Normal"/>
        <w:spacing w:after="240" w:line="480" w:lineRule="auto"/>
      </w:pPr>
      <w:r>
        <w:t xml:space="preserve">Authorities: Monell v. Dep't of Social Services</w:t>
      </w:r>
    </w:p>
    <w:p>
      <w:pPr>
        <w:pStyle w:val="Heading3"/>
        <w:spacing w:before="240" w:after="120"/>
      </w:pPr>
      <w:r>
        <w:rPr/>
        <w:t xml:space="preserve">B. The Pattern of Conduct Shows Deliberate Indifference</w:t>
      </w:r>
    </w:p>
    <w:p>
      <w:pPr>
        <w:pStyle w:val="Normal"/>
        <w:spacing w:after="240" w:line="480" w:lineRule="auto"/>
      </w:pPr>
      <w:r>
        <w:t xml:space="preserve">[Draft argument III.B here]</w:t>
      </w:r>
    </w:p>
    <w:p>
      <w:pPr>
        <w:pStyle w:val="Normal"/>
        <w:spacing w:after="240" w:line="480" w:lineRule="auto"/>
      </w:pPr>
      <w:r>
        <w:t xml:space="preserve">The repeated nature of the constitutional violations demonstrates deliberate indifference to Appellant's rights. The West Linn Police Department changed its policy immediately following notice of the suit, demonstrating awareness that its prior practices were deficient. (ER-XX.)...</w:t>
      </w:r>
    </w:p>
    <w:p>
      <w:pPr>
        <w:pStyle w:val="Normal"/>
        <w:spacing w:after="240" w:line="480" w:lineRule="auto"/>
      </w:pPr>
      <w:r>
        <w:t xml:space="preserve">West Linn Police Department changed policy immediately following notice of suit (ER-150.)</w:t>
      </w:r>
    </w:p>
    <w:p>
      <w:pPr>
        <w:pStyle w:val="Normal"/>
        <w:spacing w:after="240" w:line="480" w:lineRule="auto"/>
      </w:pPr>
      <w:r>
        <w:t xml:space="preserve">Authorities: Monell v. Dep't of Social Services, City of Canton v. Harris</w:t>
      </w:r>
    </w:p>
    <w:p>
      <w:r>
        <w:br w:type="page"/>
      </w:r>
    </w:p>
    <w:p>
      <w:pPr>
        <w:pStyle w:val="Heading1"/>
        <w:spacing w:before="240" w:after="120"/>
      </w:pPr>
      <w:r>
        <w:rPr>
          <w:b/>
        </w:rPr>
        <w:t xml:space="preserve">CONCLUSION</w:t>
      </w:r>
    </w:p>
    <w:p>
      <w:pPr>
        <w:pStyle w:val="Normal"/>
        <w:spacing w:after="480" w:line="480" w:lineRule="auto"/>
      </w:pPr>
      <w:r>
        <w:t xml:space="preserve">For the foregoing reasons, Appellant respectfully requests that this Court reverse the district court's judgment and remand for further proceedings.</w:t>
      </w:r>
    </w:p>
    <w:p>
      <w:pPr>
        <w:pStyle w:val="Normal"/>
        <w:spacing w:after="240" w:line="480" w:lineRule="auto"/>
      </w:pPr>
      <w:r>
        <w:t xml:space="preserve">Dated: December 07, 2025</w:t>
      </w:r>
    </w:p>
    <w:p>
      <w:pPr>
        <w:pStyle w:val="Normal"/>
        <w:spacing w:after="480" w:line="480" w:lineRule="auto"/>
      </w:pPr>
      <w:r>
        <w:t xml:space="preserve">Respectfully submitted,</w:t>
      </w:r>
    </w:p>
    <w:p>
      <w:pPr>
        <w:pStyle w:val="Normal"/>
        <w:spacing w:after="120" w:line="480" w:lineRule="auto"/>
      </w:pPr>
      <w:r>
        <w:t xml:space="preserve">/s/ Tyler Allen Lofall</w:t>
      </w:r>
    </w:p>
    <w:p>
      <w:pPr>
        <w:pStyle w:val="Normal"/>
        <w:spacing w:after="120" w:line="480" w:lineRule="auto"/>
      </w:pPr>
      <w:r>
        <w:t xml:space="preserve">Tyler Allen Lofall</w:t>
      </w:r>
    </w:p>
    <w:p>
      <w:pPr>
        <w:pStyle w:val="Normal"/>
        <w:spacing w:line="480" w:lineRule="auto"/>
      </w:pPr>
      <w:r>
        <w:t xml:space="preserve">Pro Se Appellant</w:t>
      </w:r>
    </w:p>
    <w:p>
      <w:r>
        <w:br w:type="page"/>
      </w:r>
    </w:p>
    <w:p>
      <w:pPr>
        <w:pStyle w:val="Heading1"/>
        <w:spacing w:before="240" w:after="120"/>
      </w:pPr>
      <w:r>
        <w:rPr>
          <w:b/>
        </w:rPr>
        <w:t xml:space="preserve">STATEMENT OF RELATED CASES</w:t>
      </w:r>
    </w:p>
    <w:p>
      <w:pPr>
        <w:pStyle w:val="Normal"/>
        <w:spacing w:line="480" w:lineRule="auto"/>
      </w:pPr>
      <w:r>
        <w:t xml:space="preserve">Appellant is unaware of any related cases pending in this Court.</w:t>
      </w:r>
    </w:p>
    <w:p>
      <w:r>
        <w:br w:type="page"/>
      </w:r>
    </w:p>
    <w:p>
      <w:pPr>
        <w:pStyle w:val="Heading1"/>
        <w:spacing w:before="240" w:after="120"/>
      </w:pPr>
      <w:r>
        <w:rPr>
          <w:b/>
        </w:rPr>
        <w:t xml:space="preserve">CERTIFICATE OF COMPLIANCE</w:t>
      </w:r>
    </w:p>
    <w:p>
      <w:pPr>
        <w:pStyle w:val="Normal"/>
        <w:spacing w:after="240" w:line="480" w:lineRule="auto"/>
      </w:pPr>
      <w:r>
        <w:t xml:space="preserve">Pursuant to Federal Rule of Appellate Procedure 32(g), I certify that this brief:</w:t>
      </w:r>
    </w:p>
    <w:p>
      <w:pPr>
        <w:pStyle w:val="Normal"/>
        <w:spacing w:after="240" w:line="480" w:lineRule="auto"/>
      </w:pPr>
      <w:r>
        <w:t xml:space="preserve">1. Complies with the type-volume limitation of FRAP 32(a)(7)(B) because this brief contains [WORD COUNT] words, excluding the parts of the brief exempted by FRAP 32(f).</w:t>
      </w:r>
    </w:p>
    <w:p>
      <w:pPr>
        <w:pStyle w:val="Normal"/>
        <w:spacing w:after="480" w:line="480" w:lineRule="auto"/>
      </w:pPr>
      <w:r>
        <w:t xml:space="preserve">2. Complies with the typeface requirements of FRAP 32(a)(5) and the type-style requirements of FRAP 32(a)(6) because this brief has been prepared in a proportionally spaced typeface using Microsoft Word in 14-point Times New Roman.</w:t>
      </w:r>
    </w:p>
    <w:p>
      <w:pPr>
        <w:pStyle w:val="Normal"/>
        <w:spacing w:after="480" w:line="480" w:lineRule="auto"/>
      </w:pPr>
      <w:r>
        <w:t xml:space="preserve">Dated: December 07, 2025</w:t>
      </w:r>
    </w:p>
    <w:p>
      <w:pPr>
        <w:pStyle w:val="Normal"/>
        <w:spacing w:after="120" w:line="480" w:lineRule="auto"/>
      </w:pPr>
      <w:r>
        <w:t xml:space="preserve">/s/ Tyler Allen Lofall</w:t>
      </w:r>
    </w:p>
    <w:p>
      <w:r>
        <w:br w:type="page"/>
      </w:r>
    </w:p>
    <w:p>
      <w:pPr>
        <w:pStyle w:val="Heading1"/>
        <w:spacing w:before="240" w:after="120"/>
      </w:pPr>
      <w:r>
        <w:rPr>
          <w:b/>
        </w:rPr>
        <w:t xml:space="preserve">CERTIFICATE OF SERVICE</w:t>
      </w:r>
    </w:p>
    <w:p>
      <w:pPr>
        <w:pStyle w:val="Normal"/>
        <w:spacing w:after="480" w:line="480" w:lineRule="auto"/>
      </w:pPr>
      <w:r>
        <w:t xml:space="preserve">I hereby certify that on December 07, 2025, I electronically filed the foregoing brief with the Clerk of Court using the CM/ECF system, which will send notification of such filing to all counsel of record.</w:t>
      </w:r>
    </w:p>
    <w:p>
      <w:pPr>
        <w:pStyle w:val="Normal"/>
        <w:spacing w:after="120" w:line="480" w:lineRule="auto"/>
      </w:pPr>
      <w:r>
        <w:t xml:space="preserve">/s/ Tyler Allen Lofall</w:t>
      </w:r>
    </w:p>
    <w:sectPr>
      <w:pgSz w:w="12240" w:h="15840"/>
      <w:pgMar w:top="1440" w:right="1440" w:bottom="1440" w:left="1440"/>
      <w:pgNumType w:start="1"/>
    </w:sectPr>
  </w:body>
</w:document>
</file>

<file path=word/_rels/document.xml.rels><?xml version="1.0" encoding="UTF-8" standalone="yes"?>
<Relationships xmlns="http://schemas.openxmlformats.org/package/2006/relationships">
</Relationships>
</file>