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EA506" w:sz="12"/>
        </w:pBdr>
        <w:spacing w:after="60"/>
      </w:pPr>
      <w:r>
        <w:rPr>
          <w:rFonts w:ascii="Calibri" w:cs="Calibri" w:eastAsia="Calibri" w:hAnsi="Calibri"/>
          <w:b/>
          <w:bCs/>
          <w:color w:val="474D61"/>
          <w:sz w:val="15"/>
          <w:szCs w:val="15"/>
        </w:rPr>
        <w:t xml:space="preserve">JABATAN PERKHIDMATAN VETERINAR  ·  BAHAGIAN PEMBANGUNAN INDUSTRI TERNAKAN</w:t>
      </w:r>
    </w:p>
    <w:p>
      <w:pPr>
        <w:spacing w:after="100" w:before="420"/>
      </w:pPr>
      <w:r>
        <w:rPr>
          <w:rFonts w:ascii="Calibri" w:cs="Calibri" w:eastAsia="Calibri" w:hAnsi="Calibri"/>
          <w:b/>
          <w:bCs/>
          <w:color w:val="79809A"/>
          <w:sz w:val="18"/>
          <w:szCs w:val="18"/>
        </w:rPr>
        <w:t xml:space="preserve">KAJIAN TREN</w:t>
      </w:r>
    </w:p>
    <w:p>
      <w:pPr>
        <w:spacing w:after="160"/>
      </w:pPr>
      <w:r>
        <w:rPr>
          <w:rFonts w:ascii="Calibri" w:cs="Calibri" w:eastAsia="Calibri" w:hAnsi="Calibri"/>
          <w:b/>
          <w:bCs/>
          <w:color w:val="000078"/>
          <w:sz w:val="40"/>
          <w:szCs w:val="40"/>
        </w:rPr>
        <w:t xml:space="preserve">Tren setiap zon VetEC dan pengesanan tahun luar biasa, 2021–2025</w:t>
      </w:r>
    </w:p>
    <w:p>
      <w:pPr>
        <w:spacing w:after="300" w:before="0" w:line="276"/>
      </w:pPr>
      <w:r>
        <w:rPr>
          <w:rFonts w:ascii="Calibri" w:cs="Calibri" w:eastAsia="Calibri" w:hAnsi="Calibri"/>
          <w:color w:val="474D61"/>
          <w:sz w:val="23"/>
          <w:szCs w:val="23"/>
        </w:rPr>
        <w:t xml:space="preserve">Kajian ini memeriksa sama ada tujuh zon VetEC bergerak mengikut corak yang sama, sama ada mana-mana tahun terkeluar daripada corak keseluruhan, dan sel zon × tahun mana yang cukup luar biasa untuk menandakan faktor pendasar yang wajar disiasat.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Perkara</w:t>
            </w:r>
          </w:p>
        </w:tc>
        <w:tc>
          <w:tcPr>
            <w:tcW w:type="dxa" w:w="6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Butiran</w:t>
            </w:r>
          </w:p>
        </w:tc>
      </w:tr>
      <w:tr>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Liputan</w:t>
            </w:r>
          </w:p>
        </w:tc>
        <w:tc>
          <w:tcPr>
            <w:tcW w:type="dxa" w:w="6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 zon VetEC × 5 tahun (2021–2025), 35 cerapan</w:t>
            </w:r>
          </w:p>
        </w:tc>
      </w:tr>
      <w:tr>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Sumber utama</w:t>
            </w:r>
          </w:p>
        </w:tc>
        <w:tc>
          <w:tcPr>
            <w:tcW w:type="dxa" w:w="6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Laporan Log Teknikal 2021–2026, lembaran tahunan</w:t>
            </w:r>
          </w:p>
        </w:tc>
      </w:tr>
      <w:tr>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Metrik dikaji</w:t>
            </w:r>
          </w:p>
        </w:tc>
        <w:tc>
          <w:tcPr>
            <w:tcW w:type="dxa" w:w="6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Output teknikal, ladang dilawat, penternak data asas, program PPV, bilangan pegawai</w:t>
            </w:r>
          </w:p>
        </w:tc>
      </w:tr>
      <w:tr>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Kaedah</w:t>
            </w:r>
          </w:p>
        </w:tc>
        <w:tc>
          <w:tcPr>
            <w:tcW w:type="dxa" w:w="6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Regresi linear per zon, model tambahan zon + tahun, baki piawai</w:t>
            </w:r>
          </w:p>
        </w:tc>
      </w:tr>
      <w:tr>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Data sokongan</w:t>
            </w:r>
          </w:p>
        </w:tc>
        <w:tc>
          <w:tcPr>
            <w:tcW w:type="dxa" w:w="6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Lembaran 2026 (Januari–April) digunakan sebagai semakan awal sahaja</w:t>
            </w:r>
          </w:p>
        </w:tc>
      </w:tr>
    </w:tbl>
    <w:p>
      <w:r>
        <w:br w:type="page"/>
      </w:r>
    </w:p>
    <w:p>
      <w:pPr>
        <w:pStyle w:val="Heading1"/>
        <w:spacing w:after="160" w:before="360"/>
      </w:pPr>
      <w:r>
        <w:rPr>
          <w:rFonts w:ascii="Calibri" w:cs="Calibri" w:eastAsia="Calibri" w:hAnsi="Calibri"/>
          <w:b/>
          <w:bCs/>
          <w:color w:val="000078"/>
          <w:sz w:val="30"/>
          <w:szCs w:val="30"/>
        </w:rPr>
        <w:t xml:space="preserve">Ringkasan eksekutif</w:t>
      </w:r>
    </w:p>
    <w:p>
      <w:pPr>
        <w:spacing w:after="200" w:before="0" w:line="276"/>
      </w:pPr>
      <w:r>
        <w:rPr>
          <w:rFonts w:ascii="Calibri" w:cs="Calibri" w:eastAsia="Calibri" w:hAnsi="Calibri"/>
          <w:color w:val="474D61"/>
          <w:sz w:val="21"/>
          <w:szCs w:val="21"/>
        </w:rPr>
        <w:t xml:space="preserve">Empat dapatan utama, disusun mengikut kekuatan bukti.</w:t>
      </w:r>
    </w:p>
    <w:p>
      <w:pPr>
        <w:pStyle w:val="Heading3"/>
        <w:spacing w:after="100" w:before="200"/>
      </w:pPr>
      <w:r>
        <w:rPr>
          <w:rFonts w:ascii="Calibri" w:cs="Calibri" w:eastAsia="Calibri" w:hAnsi="Calibri"/>
          <w:b/>
          <w:bCs/>
          <w:color w:val="13151E"/>
          <w:sz w:val="21"/>
          <w:szCs w:val="21"/>
        </w:rPr>
        <w:t xml:space="preserve">1.  Tiada tahun tunggal yang menjadi outlier bagi operasi lapangan</w:t>
      </w:r>
    </w:p>
    <w:p>
      <w:pPr>
        <w:spacing w:after="120" w:before="0" w:line="276"/>
      </w:pPr>
      <w:r>
        <w:rPr>
          <w:rFonts w:ascii="Calibri" w:cs="Calibri" w:eastAsia="Calibri" w:hAnsi="Calibri"/>
          <w:b w:val="false"/>
          <w:bCs w:val="false"/>
          <w:color w:val="474D61"/>
          <w:sz w:val="21"/>
          <w:szCs w:val="21"/>
        </w:rPr>
        <w:t xml:space="preserve">Setelah perbezaan antara zon dikawal, tahun </w:t>
      </w:r>
      <w:r>
        <w:rPr>
          <w:rFonts w:ascii="Calibri" w:cs="Calibri" w:eastAsia="Calibri" w:hAnsi="Calibri"/>
          <w:b/>
          <w:bCs/>
          <w:color w:val="474D61"/>
          <w:sz w:val="21"/>
          <w:szCs w:val="21"/>
        </w:rPr>
        <w:t xml:space="preserve">tidak</w:t>
      </w:r>
      <w:r>
        <w:rPr>
          <w:rFonts w:ascii="Calibri" w:cs="Calibri" w:eastAsia="Calibri" w:hAnsi="Calibri"/>
          <w:b w:val="false"/>
          <w:bCs w:val="false"/>
          <w:color w:val="474D61"/>
          <w:sz w:val="21"/>
          <w:szCs w:val="21"/>
        </w:rPr>
        <w:t xml:space="preserve"> menerangkan output teknikal </w:t>
      </w:r>
      <w:r>
        <w:rPr>
          <w:rFonts w:ascii="Calibri" w:cs="Calibri" w:eastAsia="Calibri" w:hAnsi="Calibri"/>
          <w:b/>
          <w:bCs/>
          <w:color w:val="474D61"/>
          <w:sz w:val="21"/>
          <w:szCs w:val="21"/>
        </w:rPr>
        <w:t xml:space="preserve">(F = 0.10, p = 0.981)</w:t>
      </w:r>
      <w:r>
        <w:rPr>
          <w:rFonts w:ascii="Calibri" w:cs="Calibri" w:eastAsia="Calibri" w:hAnsi="Calibri"/>
          <w:b w:val="false"/>
          <w:bCs w:val="false"/>
          <w:color w:val="474D61"/>
          <w:sz w:val="21"/>
          <w:szCs w:val="21"/>
        </w:rPr>
        <w:t xml:space="preserve">, ladang dilawat (p = 0.788), penternak (p = 0.890), mahupun bilangan pegawai (p = 0.999). Corak tahunan kebangsaan yang kelihatan dalam data agregat lenyap sebaik sahaja zon diambil kira — kerana turun naik dalam setiap zon jauh lebih besar daripada perbezaan antara tahun.</w:t>
      </w:r>
    </w:p>
    <w:p>
      <w:pPr>
        <w:pStyle w:val="Heading3"/>
        <w:spacing w:after="100" w:before="200"/>
      </w:pPr>
      <w:r>
        <w:rPr>
          <w:rFonts w:ascii="Calibri" w:cs="Calibri" w:eastAsia="Calibri" w:hAnsi="Calibri"/>
          <w:b/>
          <w:bCs/>
          <w:color w:val="13151E"/>
          <w:sz w:val="21"/>
          <w:szCs w:val="21"/>
        </w:rPr>
        <w:t xml:space="preserve">2.  Satu-satunya metrik yang benar-benar dipacu tahun ialah program PPV</w:t>
      </w:r>
    </w:p>
    <w:p>
      <w:pPr>
        <w:spacing w:after="120" w:before="0" w:line="276"/>
      </w:pPr>
      <w:r>
        <w:rPr>
          <w:rFonts w:ascii="Calibri" w:cs="Calibri" w:eastAsia="Calibri" w:hAnsi="Calibri"/>
          <w:b w:val="false"/>
          <w:bCs w:val="false"/>
          <w:color w:val="474D61"/>
          <w:sz w:val="21"/>
          <w:szCs w:val="21"/>
        </w:rPr>
        <w:t xml:space="preserve">Bagi PPV, tahun memberi </w:t>
      </w:r>
      <w:r>
        <w:rPr>
          <w:rFonts w:ascii="Calibri" w:cs="Calibri" w:eastAsia="Calibri" w:hAnsi="Calibri"/>
          <w:b/>
          <w:bCs/>
          <w:color w:val="474D61"/>
          <w:sz w:val="21"/>
          <w:szCs w:val="21"/>
        </w:rPr>
        <w:t xml:space="preserve">F = 11.19, p &lt; 0.0001</w:t>
      </w:r>
      <w:r>
        <w:rPr>
          <w:rFonts w:ascii="Calibri" w:cs="Calibri" w:eastAsia="Calibri" w:hAnsi="Calibri"/>
          <w:b w:val="false"/>
          <w:bCs w:val="false"/>
          <w:color w:val="474D61"/>
          <w:sz w:val="21"/>
          <w:szCs w:val="21"/>
        </w:rPr>
        <w:t xml:space="preserve">, dan zon memberi </w:t>
      </w:r>
      <w:r>
        <w:rPr>
          <w:rFonts w:ascii="Calibri" w:cs="Calibri" w:eastAsia="Calibri" w:hAnsi="Calibri"/>
          <w:b/>
          <w:bCs/>
          <w:color w:val="474D61"/>
          <w:sz w:val="21"/>
          <w:szCs w:val="21"/>
        </w:rPr>
        <w:t xml:space="preserve">F = 0.00, p = 1.000</w:t>
      </w:r>
      <w:r>
        <w:rPr>
          <w:rFonts w:ascii="Calibri" w:cs="Calibri" w:eastAsia="Calibri" w:hAnsi="Calibri"/>
          <w:b w:val="false"/>
          <w:bCs w:val="false"/>
          <w:color w:val="474D61"/>
          <w:sz w:val="21"/>
          <w:szCs w:val="21"/>
        </w:rPr>
        <w:t xml:space="preserve">. Enam daripada tujuh zon menunjukkan tren menaik yang signifikan secara statistik, lima daripadanya menaik tekal setiap tahun tanpa kecuali. Ini corak pelaksanaan berjadual, bukan hasil usaha setempat.</w:t>
      </w:r>
    </w:p>
    <w:p>
      <w:pPr>
        <w:pStyle w:val="Heading3"/>
        <w:spacing w:after="100" w:before="200"/>
      </w:pPr>
      <w:r>
        <w:rPr>
          <w:rFonts w:ascii="Calibri" w:cs="Calibri" w:eastAsia="Calibri" w:hAnsi="Calibri"/>
          <w:b/>
          <w:bCs/>
          <w:color w:val="13151E"/>
          <w:sz w:val="21"/>
          <w:szCs w:val="21"/>
        </w:rPr>
        <w:t xml:space="preserve">3.  Zon bergerak secara bebas, malah sebahagiannya berlawanan arah</w:t>
      </w:r>
    </w:p>
    <w:p>
      <w:pPr>
        <w:spacing w:after="120" w:before="0" w:line="276"/>
      </w:pPr>
      <w:r>
        <w:rPr>
          <w:rFonts w:ascii="Calibri" w:cs="Calibri" w:eastAsia="Calibri" w:hAnsi="Calibri"/>
          <w:b w:val="false"/>
          <w:bCs w:val="false"/>
          <w:color w:val="474D61"/>
          <w:sz w:val="21"/>
          <w:szCs w:val="21"/>
        </w:rPr>
        <w:t xml:space="preserve">Purata korelasi berpasangan antara siri output tujuh zon ialah </w:t>
      </w:r>
      <w:r>
        <w:rPr>
          <w:rFonts w:ascii="Calibri" w:cs="Calibri" w:eastAsia="Calibri" w:hAnsi="Calibri"/>
          <w:b/>
          <w:bCs/>
          <w:color w:val="474D61"/>
          <w:sz w:val="21"/>
          <w:szCs w:val="21"/>
        </w:rPr>
        <w:t xml:space="preserve">−0.12</w:t>
      </w:r>
      <w:r>
        <w:rPr>
          <w:rFonts w:ascii="Calibri" w:cs="Calibri" w:eastAsia="Calibri" w:hAnsi="Calibri"/>
          <w:b w:val="false"/>
          <w:bCs w:val="false"/>
          <w:color w:val="474D61"/>
          <w:sz w:val="21"/>
          <w:szCs w:val="21"/>
        </w:rPr>
        <w:t xml:space="preserve"> — pada dasarnya sifar. Zon Utara dan Barat Daya bergerak hampir bertentangan sepenuhnya </w:t>
      </w:r>
      <w:r>
        <w:rPr>
          <w:rFonts w:ascii="Calibri" w:cs="Calibri" w:eastAsia="Calibri" w:hAnsi="Calibri"/>
          <w:b/>
          <w:bCs/>
          <w:color w:val="474D61"/>
          <w:sz w:val="21"/>
          <w:szCs w:val="21"/>
        </w:rPr>
        <w:t xml:space="preserve">(r = −0.85)</w:t>
      </w:r>
      <w:r>
        <w:rPr>
          <w:rFonts w:ascii="Calibri" w:cs="Calibri" w:eastAsia="Calibri" w:hAnsi="Calibri"/>
          <w:b w:val="false"/>
          <w:bCs w:val="false"/>
          <w:color w:val="474D61"/>
          <w:sz w:val="21"/>
          <w:szCs w:val="21"/>
        </w:rPr>
        <w:t xml:space="preserve">. Tiada pemacu kebangsaan yang sama menggerakkan kesemua zon.</w:t>
      </w:r>
    </w:p>
    <w:p>
      <w:pPr>
        <w:pStyle w:val="Heading3"/>
        <w:spacing w:after="100" w:before="200"/>
      </w:pPr>
      <w:r>
        <w:rPr>
          <w:rFonts w:ascii="Calibri" w:cs="Calibri" w:eastAsia="Calibri" w:hAnsi="Calibri"/>
          <w:b/>
          <w:bCs/>
          <w:color w:val="13151E"/>
          <w:sz w:val="21"/>
          <w:szCs w:val="21"/>
        </w:rPr>
        <w:t xml:space="preserve">4.  Tiga sel zon × tahun terkeluar daripada corak, dan kesemuanya pada 2025</w:t>
      </w:r>
    </w:p>
    <w:p>
      <w:pPr>
        <w:spacing w:after="120" w:before="0" w:line="276"/>
      </w:pPr>
      <w:r>
        <w:rPr>
          <w:rFonts w:ascii="Calibri" w:cs="Calibri" w:eastAsia="Calibri" w:hAnsi="Calibri"/>
          <w:color w:val="474D61"/>
          <w:sz w:val="21"/>
          <w:szCs w:val="21"/>
        </w:rPr>
        <w:t xml:space="preserve">Zon Timur mencatat output 7,930 pada 2025 berbanding jangkaan model 34,271 (baki −2.26 sisihan piawai). Zon Timur Laut dan Zon Tenggara masing-masing terkeluar pada bilangan penternak. Daripada ketiga-tiganya, hanya kes Zon Timur kekal sebagai isu operasi setelah diperiksa — dan data awal 2026 menunjukkan ia semakin dalam, bukan pulih.</w:t>
      </w:r>
    </w:p>
    <w:p>
      <w:pPr>
        <w:pBdr>
          <w:left w:val="single" w:color="4EA506" w:sz="18" w:space="12"/>
        </w:pBdr>
        <w:spacing w:after="200" w:before="200"/>
        <w:ind w:left="200"/>
      </w:pPr>
      <w:r>
        <w:rPr>
          <w:rFonts w:ascii="Calibri" w:cs="Calibri" w:eastAsia="Calibri" w:hAnsi="Calibri"/>
          <w:b/>
          <w:bCs/>
          <w:color w:val="13151E"/>
          <w:sz w:val="21"/>
          <w:szCs w:val="21"/>
        </w:rPr>
        <w:t xml:space="preserve">Cadangan utama:  </w:t>
      </w:r>
      <w:r>
        <w:rPr>
          <w:rFonts w:ascii="Calibri" w:cs="Calibri" w:eastAsia="Calibri" w:hAnsi="Calibri"/>
          <w:color w:val="474D61"/>
          <w:sz w:val="21"/>
          <w:szCs w:val="21"/>
        </w:rPr>
        <w:t xml:space="preserve">siasat Zon Timur sebagai keutamaan. Kerja kempen di zon itu — vaksinasi, ujian lapangan dan pensampelan — hampir terhenti sepenuhnya, sementara kerja nasihat dan lawat siasat kekal normal. Corak terpilih ini menunjuk kepada punca khusus, bukan kemerosotan menyeluruh.</w:t>
      </w:r>
    </w:p>
    <w:p>
      <w:pPr>
        <w:pStyle w:val="Heading1"/>
        <w:spacing w:after="160" w:before="360"/>
      </w:pPr>
      <w:r>
        <w:rPr>
          <w:rFonts w:ascii="Calibri" w:cs="Calibri" w:eastAsia="Calibri" w:hAnsi="Calibri"/>
          <w:b/>
          <w:bCs/>
          <w:color w:val="000078"/>
          <w:sz w:val="30"/>
          <w:szCs w:val="30"/>
        </w:rPr>
        <w:t xml:space="preserve">A.  Tren setiap zon, 2021–2025</w:t>
      </w:r>
    </w:p>
    <w:p>
      <w:pPr>
        <w:spacing w:after="120" w:before="0" w:line="276"/>
      </w:pPr>
      <w:r>
        <w:rPr>
          <w:rFonts w:ascii="Calibri" w:cs="Calibri" w:eastAsia="Calibri" w:hAnsi="Calibri"/>
          <w:color w:val="474D61"/>
          <w:sz w:val="21"/>
          <w:szCs w:val="21"/>
        </w:rPr>
        <w:t xml:space="preserve">Jadual di bawah meringkaskan output teknikal setiap zon: nilai hujung, perubahan keseluruhan, kadar pertumbuhan tahunan terkompaun, pekali variasi sebagai ukuran kestabilan, dan bentuk siri lima tahun itu.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1150"/>
        <w:gridCol w:w="1000"/>
        <w:gridCol w:w="900"/>
        <w:gridCol w:w="2450"/>
      </w:tblGrid>
      <w:tr>
        <w:trPr>
          <w:tblHeader/>
        </w:trPr>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Δ %</w:t>
            </w:r>
          </w:p>
        </w:tc>
        <w:tc>
          <w:tcPr>
            <w:tcW w:type="dxa" w:w="10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CAGR</w:t>
            </w:r>
          </w:p>
        </w:tc>
        <w:tc>
          <w:tcPr>
            <w:tcW w:type="dxa" w:w="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CV</w:t>
            </w:r>
          </w:p>
        </w:tc>
        <w:tc>
          <w:tcPr>
            <w:tcW w:type="dxa" w:w="24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Bentuk siri</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18,578</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53,601</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+188.5%</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+30.3%</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35.2%</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tidak menentu</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33,631</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59,331</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+76.4%</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+15.2%</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24.8%</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puncak 2022</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50,340</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54,609</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+8.5%</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28.7%</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puncak 2023</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21,318</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22,099</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+3.7%</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+0.9%</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10.1%</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palung 2024</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70,703</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47,638</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−32.6%</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−9.4%</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32.2%</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palung 2023</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14,045</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7,930</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−43.5%</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−13.3%</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28.4%</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puncak 2022</w:t>
            </w:r>
          </w:p>
        </w:tc>
      </w:tr>
      <w:tr>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85,197</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21,397</w:t>
            </w:r>
          </w:p>
        </w:tc>
        <w:tc>
          <w:tcPr>
            <w:tcW w:type="dxa" w:w="11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−74.9%</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−29.2%</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74.1%</w:t>
            </w:r>
          </w:p>
        </w:tc>
        <w:tc>
          <w:tcPr>
            <w:tcW w:type="dxa" w:w="24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palung 2023</w:t>
            </w:r>
          </w:p>
        </w:tc>
      </w:tr>
      <w:tr>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KESELURUHAN</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293,812</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266,605</w:t>
            </w:r>
          </w:p>
        </w:tc>
        <w:tc>
          <w:tcPr>
            <w:tcW w:type="dxa" w:w="11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−9.3%</w:t>
            </w:r>
          </w:p>
        </w:tc>
        <w:tc>
          <w:tcPr>
            <w:tcW w:type="dxa" w:w="10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−2.4%</w:t>
            </w:r>
          </w:p>
        </w:tc>
        <w:tc>
          <w:tcPr>
            <w:tcW w:type="dxa" w:w="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c>
          <w:tcPr>
            <w:tcW w:type="dxa" w:w="24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bl>
    <w:p>
      <w:pPr>
        <w:spacing w:after="200" w:before="40"/>
      </w:pPr>
      <w:r>
        <w:rPr>
          <w:rFonts w:ascii="Calibri" w:cs="Calibri" w:eastAsia="Calibri" w:hAnsi="Calibri"/>
          <w:i/>
          <w:iCs/>
          <w:color w:val="79809A"/>
          <w:sz w:val="16"/>
          <w:szCs w:val="16"/>
        </w:rPr>
        <w:t xml:space="preserve">Jadual A1.  Output teknikal mengikut zon. CV = pekali variasi; nilai tinggi bermakna siri tidak stabil dari tahun ke tahun.</w:t>
      </w:r>
    </w:p>
    <w:p>
      <w:pPr>
        <w:spacing w:after="120" w:before="0" w:line="276"/>
      </w:pPr>
      <w:r>
        <w:rPr>
          <w:rFonts w:ascii="Calibri" w:cs="Calibri" w:eastAsia="Calibri" w:hAnsi="Calibri"/>
          <w:color w:val="474D61"/>
          <w:sz w:val="21"/>
          <w:szCs w:val="21"/>
        </w:rPr>
        <w:t xml:space="preserve">Dua perkara patut diberi perhatian. Pertama, julat perubahan amat luas: daripada +188.5% hingga −74.9%. Kedua, tiada satu pun tren zon mencapai keertian statistik pada p &lt; 0.05 — yang paling hampir ialah Zon Selatan (p = 0.058) dan Zon Tenggara (p = 0.063). Dengan hanya lima titik data setiap zon, siri yang berayun luas tidak menghasilkan tren linear yang boleh dipercayai.</w:t>
      </w:r>
    </w:p>
    <w:p>
      <w:pPr>
        <w:pStyle w:val="Heading2"/>
        <w:spacing w:after="120" w:before="260"/>
      </w:pPr>
      <w:r>
        <w:rPr>
          <w:rFonts w:ascii="Calibri" w:cs="Calibri" w:eastAsia="Calibri" w:hAnsi="Calibri"/>
          <w:b/>
          <w:bCs/>
          <w:color w:val="000078"/>
          <w:sz w:val="24"/>
          <w:szCs w:val="24"/>
        </w:rPr>
        <w:t xml:space="preserve">Kestabilan zon</w:t>
      </w:r>
    </w:p>
    <w:p>
      <w:pPr>
        <w:spacing w:after="120" w:before="0" w:line="276"/>
      </w:pPr>
      <w:r>
        <w:rPr>
          <w:rFonts w:ascii="Calibri" w:cs="Calibri" w:eastAsia="Calibri" w:hAnsi="Calibri"/>
          <w:color w:val="474D61"/>
          <w:sz w:val="21"/>
          <w:szCs w:val="21"/>
        </w:rPr>
        <w:t xml:space="preserve">Pekali variasi memberi ukuran yang lebih berguna daripada tren bagi data seperti ini.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700"/>
        <w:gridCol w:w="1700"/>
        <w:gridCol w:w="160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CV</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Minimum</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Maksimum</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Maks ÷ min</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17,358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22,099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33,631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65,294</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28.4%</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7,930</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19,139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28.7%</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31,924</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71,885</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32.2%</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30,417</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70,703</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35.2%</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18,578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53,601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2.9×</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74.1%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17,724</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85,197</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4.8×</w:t>
            </w:r>
          </w:p>
        </w:tc>
      </w:tr>
    </w:tbl>
    <w:p>
      <w:pPr>
        <w:spacing w:after="200" w:before="40"/>
      </w:pPr>
      <w:r>
        <w:rPr>
          <w:rFonts w:ascii="Calibri" w:cs="Calibri" w:eastAsia="Calibri" w:hAnsi="Calibri"/>
          <w:i/>
          <w:iCs/>
          <w:color w:val="79809A"/>
          <w:sz w:val="16"/>
          <w:szCs w:val="16"/>
        </w:rPr>
        <w:t xml:space="preserve">Jadual A2.  Kestabilan output teknikal, disusun daripada paling stabil.</w:t>
      </w:r>
    </w:p>
    <w:p>
      <w:pPr>
        <w:spacing w:after="120" w:before="0" w:line="276"/>
      </w:pPr>
      <w:r>
        <w:rPr>
          <w:rFonts w:ascii="Calibri" w:cs="Calibri" w:eastAsia="Calibri" w:hAnsi="Calibri"/>
          <w:b w:val="false"/>
          <w:bCs w:val="false"/>
          <w:color w:val="474D61"/>
          <w:sz w:val="21"/>
          <w:szCs w:val="21"/>
        </w:rPr>
        <w:t xml:space="preserve">Zon Selatan mengayun </w:t>
      </w:r>
      <w:r>
        <w:rPr>
          <w:rFonts w:ascii="Calibri" w:cs="Calibri" w:eastAsia="Calibri" w:hAnsi="Calibri"/>
          <w:b/>
          <w:bCs/>
          <w:color w:val="474D61"/>
          <w:sz w:val="21"/>
          <w:szCs w:val="21"/>
        </w:rPr>
        <w:t xml:space="preserve">4.8 kali ganda</w:t>
      </w:r>
      <w:r>
        <w:rPr>
          <w:rFonts w:ascii="Calibri" w:cs="Calibri" w:eastAsia="Calibri" w:hAnsi="Calibri"/>
          <w:b w:val="false"/>
          <w:bCs w:val="false"/>
          <w:color w:val="474D61"/>
          <w:sz w:val="21"/>
          <w:szCs w:val="21"/>
        </w:rPr>
        <w:t xml:space="preserve"> antara tahun terbaik dan terburuknya. Zon Timur Laut, sebaliknya, hampir rata sepenuhnya. Kedua-dua zon ini mempunyai bilangan pegawai yang stabil sepanjang tempoh, jadi perbezaan kestabilan itu datang daripada sifat kerja yang dijalankan, bukan daripada kapasiti.</w:t>
      </w:r>
    </w:p>
    <w:p>
      <w:pPr>
        <w:pStyle w:val="Heading2"/>
        <w:spacing w:after="120" w:before="260"/>
      </w:pPr>
      <w:r>
        <w:rPr>
          <w:rFonts w:ascii="Calibri" w:cs="Calibri" w:eastAsia="Calibri" w:hAnsi="Calibri"/>
          <w:b/>
          <w:bCs/>
          <w:color w:val="000078"/>
          <w:sz w:val="24"/>
          <w:szCs w:val="24"/>
        </w:rPr>
        <w:t xml:space="preserve">Program PPV — corak yang berbeza sepenuhnya</w:t>
      </w:r>
    </w:p>
    <w:p>
      <w:pPr>
        <w:spacing w:after="120" w:before="0" w:line="276"/>
      </w:pPr>
      <w:r>
        <w:rPr>
          <w:rFonts w:ascii="Calibri" w:cs="Calibri" w:eastAsia="Calibri" w:hAnsi="Calibri"/>
          <w:color w:val="474D61"/>
          <w:sz w:val="21"/>
          <w:szCs w:val="21"/>
        </w:rPr>
        <w:t xml:space="preserve">Berbeza dengan output, tren PPV adalah kemas, sejajar dan signifikan secara statistik di hampir setiap zon.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400"/>
        <w:gridCol w:w="1200"/>
        <w:gridCol w:w="210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0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0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Δ %</w:t>
            </w:r>
          </w:p>
        </w:tc>
        <w:tc>
          <w:tcPr>
            <w:tcW w:type="dxa" w:w="1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p tren</w:t>
            </w:r>
          </w:p>
        </w:tc>
        <w:tc>
          <w:tcPr>
            <w:tcW w:type="dxa" w:w="21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Bentuk</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87</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+335.0%</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0.001</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88</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+193.3%</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0.005</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80</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+150.0%</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0.005</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26</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+107.7%</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0.007</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tidak menentu</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27</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+103.7%</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0.001</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77</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+63.8%</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0.015</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w:t>
            </w:r>
          </w:p>
        </w:tc>
        <w:tc>
          <w:tcPr>
            <w:tcW w:type="dxa" w:w="1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65</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+54.8%</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0.014</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menaik tekal</w:t>
            </w:r>
          </w:p>
        </w:tc>
      </w:tr>
    </w:tbl>
    <w:p>
      <w:pPr>
        <w:spacing w:after="200" w:before="40"/>
      </w:pPr>
      <w:r>
        <w:rPr>
          <w:rFonts w:ascii="Calibri" w:cs="Calibri" w:eastAsia="Calibri" w:hAnsi="Calibri"/>
          <w:i/>
          <w:iCs/>
          <w:color w:val="79809A"/>
          <w:sz w:val="16"/>
          <w:szCs w:val="16"/>
        </w:rPr>
        <w:t xml:space="preserve">Jadual A3.  Program PPV mengikut zon. Kesemua tujuh tren adalah positif dan enam daripadanya signifikan pada p &lt; 0.05.</w:t>
      </w:r>
    </w:p>
    <w:p>
      <w:pPr>
        <w:spacing w:after="120" w:before="0" w:line="276"/>
      </w:pPr>
      <w:r>
        <w:rPr>
          <w:rFonts w:ascii="Calibri" w:cs="Calibri" w:eastAsia="Calibri" w:hAnsi="Calibri"/>
          <w:color w:val="474D61"/>
          <w:sz w:val="21"/>
          <w:szCs w:val="21"/>
        </w:rPr>
        <w:t xml:space="preserve">Perbezaan antara Jadual A1 dan A3 adalah teras laporan ini. Output berayun tanpa arah yang jelas; PPV menaik dengan kemas di mana-mana. Metrik yang boleh ditadbir secara berjadual berkelakuan seperti jadual; metrik yang bergantung kepada keadaan lapangan berkelakuan seperti keadaan lapangan.</w:t>
      </w:r>
    </w:p>
    <w:p>
      <w:r>
        <w:br w:type="page"/>
      </w:r>
    </w:p>
    <w:p>
      <w:pPr>
        <w:pStyle w:val="Heading1"/>
        <w:spacing w:after="160" w:before="360"/>
      </w:pPr>
      <w:r>
        <w:rPr>
          <w:rFonts w:ascii="Calibri" w:cs="Calibri" w:eastAsia="Calibri" w:hAnsi="Calibri"/>
          <w:b/>
          <w:bCs/>
          <w:color w:val="000078"/>
          <w:sz w:val="30"/>
          <w:szCs w:val="30"/>
        </w:rPr>
        <w:t xml:space="preserve">B.  Adakah terdapat tahun outlier?</w:t>
      </w:r>
    </w:p>
    <w:p>
      <w:pPr>
        <w:spacing w:after="120" w:before="0" w:line="276"/>
      </w:pPr>
      <w:r>
        <w:rPr>
          <w:rFonts w:ascii="Calibri" w:cs="Calibri" w:eastAsia="Calibri" w:hAnsi="Calibri"/>
          <w:color w:val="474D61"/>
          <w:sz w:val="21"/>
          <w:szCs w:val="21"/>
        </w:rPr>
        <w:t xml:space="preserve">Untuk menguji ini, setiap metrik dimodelkan sebagai kesan zon campur kesan tahun (model tambahan, skala log). Soalannya: setelah kita tahu zon mana, adakah mengetahui tahun menambah kuasa penjelasan?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500"/>
        <w:gridCol w:w="1200"/>
        <w:gridCol w:w="1300"/>
        <w:gridCol w:w="1500"/>
      </w:tblGrid>
      <w:tr>
        <w:trPr>
          <w:tblHeader/>
        </w:trPr>
        <w:tc>
          <w:tcPr>
            <w:tcW w:type="dxa" w:w="2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Metrik</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F tahun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p tahun</w:t>
            </w:r>
          </w:p>
        </w:tc>
        <w:tc>
          <w:tcPr>
            <w:tcW w:type="dxa" w:w="1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F zon</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p zon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R²</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Program PPV</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11.19</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&lt; 0.0001</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1.000</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0.651</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Ladang dilawat</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0.43</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0.788</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0.05</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0.999</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0.078</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Penternak data asas</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0.28</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0.890</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0.42</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0.860</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0.131</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Output teknikal</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0.10</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0.981</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0.58</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0.744</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0.139</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Bilangan pegawai</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0.02</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0.999</w:t>
            </w:r>
          </w:p>
        </w:tc>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0.08</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0.998</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0.023</w:t>
            </w:r>
          </w:p>
        </w:tc>
      </w:tr>
    </w:tbl>
    <w:p>
      <w:pPr>
        <w:spacing w:after="200" w:before="40"/>
      </w:pPr>
      <w:r>
        <w:rPr>
          <w:rFonts w:ascii="Calibri" w:cs="Calibri" w:eastAsia="Calibri" w:hAnsi="Calibri"/>
          <w:i/>
          <w:iCs/>
          <w:color w:val="79809A"/>
          <w:sz w:val="16"/>
          <w:szCs w:val="16"/>
        </w:rPr>
        <w:t xml:space="preserve">Jadual B1.  Ujian-F blok tahun dan blok zon, n = 35.</w:t>
      </w:r>
    </w:p>
    <w:p>
      <w:pPr>
        <w:spacing w:after="120" w:before="0" w:line="276"/>
      </w:pPr>
      <w:r>
        <w:rPr>
          <w:rFonts w:ascii="Calibri" w:cs="Calibri" w:eastAsia="Calibri" w:hAnsi="Calibri"/>
          <w:b w:val="false"/>
          <w:bCs w:val="false"/>
          <w:color w:val="474D61"/>
          <w:sz w:val="21"/>
          <w:szCs w:val="21"/>
        </w:rPr>
        <w:t xml:space="preserve">Jawapannya jelas: </w:t>
      </w:r>
      <w:r>
        <w:rPr>
          <w:rFonts w:ascii="Calibri" w:cs="Calibri" w:eastAsia="Calibri" w:hAnsi="Calibri"/>
          <w:b/>
          <w:bCs/>
          <w:color w:val="474D61"/>
          <w:sz w:val="21"/>
          <w:szCs w:val="21"/>
        </w:rPr>
        <w:t xml:space="preserve">bagi operasi lapangan, tidak ada tahun outlier</w:t>
      </w:r>
      <w:r>
        <w:rPr>
          <w:rFonts w:ascii="Calibri" w:cs="Calibri" w:eastAsia="Calibri" w:hAnsi="Calibri"/>
          <w:b w:val="false"/>
          <w:bCs w:val="false"/>
          <w:color w:val="474D61"/>
          <w:sz w:val="21"/>
          <w:szCs w:val="21"/>
        </w:rPr>
        <w:t xml:space="preserve">. Nilai p bagi blok tahun berjulat 0.79 hingga 0.999 — sejauh mungkin daripada signifikan. Hanya program PPV yang dipacu tahun, dan bagi metrik itu zon pula tidak memberi apa-apa.</w:t>
      </w:r>
    </w:p>
    <w:p>
      <w:pPr>
        <w:pStyle w:val="Heading2"/>
        <w:spacing w:after="120" w:before="260"/>
      </w:pPr>
      <w:r>
        <w:rPr>
          <w:rFonts w:ascii="Calibri" w:cs="Calibri" w:eastAsia="Calibri" w:hAnsi="Calibri"/>
          <w:b/>
          <w:bCs/>
          <w:color w:val="000078"/>
          <w:sz w:val="24"/>
          <w:szCs w:val="24"/>
        </w:rPr>
        <w:t xml:space="preserve">Mengapa penurunan kebangsaan tidak muncul sebagai kesan tahun</w:t>
      </w:r>
    </w:p>
    <w:p>
      <w:pPr>
        <w:spacing w:after="120" w:before="0" w:line="276"/>
      </w:pPr>
      <w:r>
        <w:rPr>
          <w:rFonts w:ascii="Calibri" w:cs="Calibri" w:eastAsia="Calibri" w:hAnsi="Calibri"/>
          <w:color w:val="474D61"/>
          <w:sz w:val="21"/>
          <w:szCs w:val="21"/>
        </w:rPr>
        <w:t xml:space="preserve">Anggaran kesan tahun bagi output teknikal memang menunjukkan arah menurun, tetapi magnitudnya kecil berbanding bunyi latar: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4000"/>
      </w:tblGrid>
      <w:tr>
        <w:trPr>
          <w:tblHeader/>
        </w:trPr>
        <w:tc>
          <w:tcPr>
            <w:tcW w:type="dxa" w:w="1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Tahun</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Kesan (log)</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Bersamaan</w:t>
            </w:r>
          </w:p>
        </w:tc>
        <w:tc>
          <w:tcPr>
            <w:tcW w:type="dxa" w:w="40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Tafsiran</w:t>
            </w:r>
          </w:p>
        </w:tc>
      </w:tr>
      <w:tr>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0.000</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rujukan</w:t>
            </w:r>
          </w:p>
        </w:tc>
        <w:tc>
          <w:tcPr>
            <w:tcW w:type="dxa" w:w="4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r>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2022</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+0.041</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+4.2%</w:t>
            </w:r>
          </w:p>
        </w:tc>
        <w:tc>
          <w:tcPr>
            <w:tcW w:type="dxa" w:w="4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hampir sama dengan 2021</w:t>
            </w:r>
          </w:p>
        </w:tc>
      </w:tr>
      <w:tr>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2023</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−0.131</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−12.3%</w:t>
            </w:r>
          </w:p>
        </w:tc>
        <w:tc>
          <w:tcPr>
            <w:tcW w:type="dxa" w:w="4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tahun terendah</w:t>
            </w:r>
          </w:p>
        </w:tc>
      </w:tr>
      <w:tr>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2024</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−0.127</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−12.0%</w:t>
            </w:r>
          </w:p>
        </w:tc>
        <w:tc>
          <w:tcPr>
            <w:tcW w:type="dxa" w:w="4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hampir sama dengan 2023</w:t>
            </w:r>
          </w:p>
        </w:tc>
      </w:tr>
      <w:tr>
        <w:tc>
          <w:tcPr>
            <w:tcW w:type="dxa" w:w="1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2025</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−0.086</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−8.3%</w:t>
            </w:r>
          </w:p>
        </w:tc>
        <w:tc>
          <w:tcPr>
            <w:tcW w:type="dxa" w:w="40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pemulihan separa</w:t>
            </w:r>
          </w:p>
        </w:tc>
      </w:tr>
    </w:tbl>
    <w:p>
      <w:pPr>
        <w:spacing w:after="200" w:before="40"/>
      </w:pPr>
      <w:r>
        <w:rPr>
          <w:rFonts w:ascii="Calibri" w:cs="Calibri" w:eastAsia="Calibri" w:hAnsi="Calibri"/>
          <w:i/>
          <w:iCs/>
          <w:color w:val="79809A"/>
          <w:sz w:val="16"/>
          <w:szCs w:val="16"/>
        </w:rPr>
        <w:t xml:space="preserve">Jadual B2.  Kesan setiap tahun ke atas output teknikal berbanding 2021, selepas zon dikawal. Tiada satu pun signifikan secara individu.</w:t>
      </w:r>
    </w:p>
    <w:p>
      <w:pPr>
        <w:spacing w:after="120" w:before="0" w:line="276"/>
      </w:pPr>
      <w:r>
        <w:rPr>
          <w:rFonts w:ascii="Calibri" w:cs="Calibri" w:eastAsia="Calibri" w:hAnsi="Calibri"/>
          <w:color w:val="474D61"/>
          <w:sz w:val="21"/>
          <w:szCs w:val="21"/>
        </w:rPr>
        <w:t xml:space="preserve">Julat penuh kesan tahun ialah kira-kira 16 mata peratus. Bandingkan dengan Zon Selatan yang mengayun 4.8 kali ganda, atau Zon Tenggara yang naik 188% — turun naik dalam zon menenggelamkan corak antara tahun sepenuhnya.</w:t>
      </w:r>
    </w:p>
    <w:p>
      <w:pPr>
        <w:pStyle w:val="Heading2"/>
        <w:spacing w:after="120" w:before="260"/>
      </w:pPr>
      <w:r>
        <w:rPr>
          <w:rFonts w:ascii="Calibri" w:cs="Calibri" w:eastAsia="Calibri" w:hAnsi="Calibri"/>
          <w:b/>
          <w:bCs/>
          <w:color w:val="000078"/>
          <w:sz w:val="24"/>
          <w:szCs w:val="24"/>
        </w:rPr>
        <w:t xml:space="preserve">Tahun mana yang paling terkeluar dalam setiap zon?</w:t>
      </w:r>
    </w:p>
    <w:p>
      <w:pPr>
        <w:spacing w:after="120" w:before="0" w:line="276"/>
      </w:pPr>
      <w:r>
        <w:rPr>
          <w:rFonts w:ascii="Calibri" w:cs="Calibri" w:eastAsia="Calibri" w:hAnsi="Calibri"/>
          <w:color w:val="474D61"/>
          <w:sz w:val="21"/>
          <w:szCs w:val="21"/>
        </w:rPr>
        <w:t xml:space="preserve">Ujian berbeza: bagi setiap zon secara berasingan, tahun mana yang paling jauh daripada purata zon itu sendiri? Nilai di bawah ialah skor-z dalam zon.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050"/>
        <w:gridCol w:w="1350"/>
      </w:tblGrid>
      <w:tr>
        <w:trPr>
          <w:tblHeader/>
        </w:trPr>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0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0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0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0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0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3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Paling ekstrem</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−1.54</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+0.81</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+0.80</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−0.43</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+0.37</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2021</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−0.03</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−1.29</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+1.45</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−0.39</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+0.26</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2023</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+1.63</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−0.28</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−1.07</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−0.36</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+0.08</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2021</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+1.54</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+0.48</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−0.75</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−0.66</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−0.62</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2021</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−1.48</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+0.29</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−0.47</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+0.55</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+1.10</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2021</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−0.09</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+1.15</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+0.18</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+0.35</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−1.59</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2025</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+0.80</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−0.07</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−0.74</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−1.18</w:t>
            </w:r>
          </w:p>
        </w:tc>
        <w:tc>
          <w:tcPr>
            <w:tcW w:type="dxa" w:w="10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+1.19</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2025</w:t>
            </w:r>
          </w:p>
        </w:tc>
      </w:tr>
    </w:tbl>
    <w:p>
      <w:pPr>
        <w:spacing w:after="200" w:before="40"/>
      </w:pPr>
      <w:r>
        <w:rPr>
          <w:rFonts w:ascii="Calibri" w:cs="Calibri" w:eastAsia="Calibri" w:hAnsi="Calibri"/>
          <w:i/>
          <w:iCs/>
          <w:color w:val="79809A"/>
          <w:sz w:val="16"/>
          <w:szCs w:val="16"/>
        </w:rPr>
        <w:t xml:space="preserve">Jadual B3.  Skor-z dalam zon bagi output teknikal. Warna menandakan |z| &gt; 1.2.</w:t>
      </w:r>
    </w:p>
    <w:p>
      <w:pPr>
        <w:spacing w:after="120" w:before="0" w:line="276"/>
      </w:pPr>
      <w:r>
        <w:rPr>
          <w:rFonts w:ascii="Calibri" w:cs="Calibri" w:eastAsia="Calibri" w:hAnsi="Calibri"/>
          <w:b w:val="false"/>
          <w:bCs w:val="false"/>
          <w:color w:val="474D61"/>
          <w:sz w:val="21"/>
          <w:szCs w:val="21"/>
        </w:rPr>
        <w:t xml:space="preserve">Ini memberi jawapan yang tidak dijangka. Tahun yang paling kerap menjadi ekstrem ialah </w:t>
      </w:r>
      <w:r>
        <w:rPr>
          <w:rFonts w:ascii="Calibri" w:cs="Calibri" w:eastAsia="Calibri" w:hAnsi="Calibri"/>
          <w:b/>
          <w:bCs/>
          <w:color w:val="474D61"/>
          <w:sz w:val="21"/>
          <w:szCs w:val="21"/>
        </w:rPr>
        <w:t xml:space="preserve">2021</w:t>
      </w:r>
      <w:r>
        <w:rPr>
          <w:rFonts w:ascii="Calibri" w:cs="Calibri" w:eastAsia="Calibri" w:hAnsi="Calibri"/>
          <w:b w:val="false"/>
          <w:bCs w:val="false"/>
          <w:color w:val="474D61"/>
          <w:sz w:val="21"/>
          <w:szCs w:val="21"/>
        </w:rPr>
        <w:t xml:space="preserve"> — empat daripada tujuh zon mencatat tahun paling luar biasanya pada 2021, berbanding satu sahaja pada 2025 dan </w:t>
      </w:r>
      <w:r>
        <w:rPr>
          <w:rFonts w:ascii="Calibri" w:cs="Calibri" w:eastAsia="Calibri" w:hAnsi="Calibri"/>
          <w:b/>
          <w:bCs/>
          <w:color w:val="474D61"/>
          <w:sz w:val="21"/>
          <w:szCs w:val="21"/>
        </w:rPr>
        <w:t xml:space="preserve">tiada langsung pada 2024</w:t>
      </w:r>
      <w:r>
        <w:rPr>
          <w:rFonts w:ascii="Calibri" w:cs="Calibri" w:eastAsia="Calibri" w:hAnsi="Calibri"/>
          <w:b w:val="false"/>
          <w:bCs w:val="false"/>
          <w:color w:val="474D61"/>
          <w:sz w:val="21"/>
          <w:szCs w:val="21"/>
        </w:rPr>
        <w:t xml:space="preserv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tblGrid>
      <w:tr>
        <w:trPr>
          <w:tblHeader/>
        </w:trPr>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Tahun</w:t>
            </w:r>
          </w:p>
        </w:tc>
        <w:tc>
          <w:tcPr>
            <w:tcW w:type="dxa" w:w="3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Bilangan zon dengan |z| &gt; 1.2</w:t>
            </w:r>
          </w:p>
        </w:tc>
        <w:tc>
          <w:tcPr>
            <w:tcW w:type="dxa" w:w="2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Visual</w:t>
            </w:r>
          </w:p>
        </w:tc>
      </w:tr>
      <w:tr>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2021</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4 daripada 7</w:t>
            </w:r>
          </w:p>
        </w:tc>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r>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2022</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 daripada 7</w:t>
            </w:r>
          </w:p>
        </w:tc>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r>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2023</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 daripada 7</w:t>
            </w:r>
          </w:p>
        </w:tc>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r>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2024</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 daripada 7</w:t>
            </w:r>
          </w:p>
        </w:tc>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r>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2025</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 daripada 7</w:t>
            </w:r>
          </w:p>
        </w:tc>
        <w:tc>
          <w:tcPr>
            <w:tcW w:type="dxa" w:w="2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w:t>
            </w:r>
          </w:p>
        </w:tc>
      </w:tr>
    </w:tbl>
    <w:p>
      <w:pPr>
        <w:spacing w:after="200" w:before="40"/>
      </w:pPr>
      <w:r>
        <w:rPr>
          <w:rFonts w:ascii="Calibri" w:cs="Calibri" w:eastAsia="Calibri" w:hAnsi="Calibri"/>
          <w:i/>
          <w:iCs/>
          <w:color w:val="79809A"/>
          <w:sz w:val="16"/>
          <w:szCs w:val="16"/>
        </w:rPr>
        <w:t xml:space="preserve">Jadual B4.  Kekerapan sel melampau mengikut tahun.</w:t>
      </w:r>
    </w:p>
    <w:p>
      <w:pPr>
        <w:spacing w:after="120" w:before="0" w:line="276"/>
      </w:pPr>
      <w:r>
        <w:rPr>
          <w:rFonts w:ascii="Calibri" w:cs="Calibri" w:eastAsia="Calibri" w:hAnsi="Calibri"/>
          <w:color w:val="474D61"/>
          <w:sz w:val="21"/>
          <w:szCs w:val="21"/>
        </w:rPr>
        <w:t xml:space="preserve">Tetapi 2021 bukan outlier dalam erti kata biasa, kerana arahnya bercanggah: Zon Barat Daya dan Selatan luar biasa TINGGI pada 2021, sementara Zon Utara dan Tenggara luar biasa RENDAH. Jika 2021 dipengaruhi satu peristiwa kebangsaan, kesannya sepatutnya menuju arah yang sama. Sebaliknya, ia menunjukkan tahun asas panel ini menangkap tujuh zon pada fasa kitaran yang berbeza-beza.</w:t>
      </w:r>
    </w:p>
    <w:p>
      <w:r>
        <w:br w:type="page"/>
      </w:r>
    </w:p>
    <w:p>
      <w:pPr>
        <w:pStyle w:val="Heading1"/>
        <w:spacing w:after="160" w:before="360"/>
      </w:pPr>
      <w:r>
        <w:rPr>
          <w:rFonts w:ascii="Calibri" w:cs="Calibri" w:eastAsia="Calibri" w:hAnsi="Calibri"/>
          <w:b/>
          <w:bCs/>
          <w:color w:val="000078"/>
          <w:sz w:val="30"/>
          <w:szCs w:val="30"/>
        </w:rPr>
        <w:t xml:space="preserve">C.  Sel zon × tahun yang terkeluar daripada corak</w:t>
      </w:r>
    </w:p>
    <w:p>
      <w:pPr>
        <w:spacing w:after="120" w:before="0" w:line="276"/>
      </w:pPr>
      <w:r>
        <w:rPr>
          <w:rFonts w:ascii="Calibri" w:cs="Calibri" w:eastAsia="Calibri" w:hAnsi="Calibri"/>
          <w:color w:val="474D61"/>
          <w:sz w:val="21"/>
          <w:szCs w:val="21"/>
        </w:rPr>
        <w:t xml:space="preserve">Ujian ketiga mencari sel individu — satu zon dalam satu tahun — yang tidak dijangka oleh model zon campur tahun. Tiga sel melepasi ambang 1.9 sisihan piawai.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900"/>
        <w:gridCol w:w="1400"/>
        <w:gridCol w:w="1400"/>
        <w:gridCol w:w="1500"/>
      </w:tblGrid>
      <w:tr>
        <w:trPr>
          <w:tblHeader/>
        </w:trPr>
        <w:tc>
          <w:tcPr>
            <w:tcW w:type="dxa" w:w="2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Metrik</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Zon</w:t>
            </w:r>
          </w:p>
        </w:tc>
        <w:tc>
          <w:tcPr>
            <w:tcW w:type="dxa" w:w="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Tahun</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Cerapan</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Jangkaan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Baki</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Penternak data asas</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TIMUR LAUT</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2025</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123</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364</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−2.49</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Penternak data asas</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TENGGARA</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2025</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1,362</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508</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+2.27</w:t>
            </w:r>
          </w:p>
        </w:tc>
      </w:tr>
      <w:tr>
        <w:tc>
          <w:tcPr>
            <w:tcW w:type="dxa" w:w="25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Output teknikal</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TIMUR</w:t>
            </w:r>
          </w:p>
        </w:tc>
        <w:tc>
          <w:tcPr>
            <w:tcW w:type="dxa" w:w="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2025</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7,930</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34,271</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−2.26</w:t>
            </w:r>
          </w:p>
        </w:tc>
      </w:tr>
    </w:tbl>
    <w:p>
      <w:pPr>
        <w:spacing w:after="200" w:before="40"/>
      </w:pPr>
      <w:r>
        <w:rPr>
          <w:rFonts w:ascii="Calibri" w:cs="Calibri" w:eastAsia="Calibri" w:hAnsi="Calibri"/>
          <w:i/>
          <w:iCs/>
          <w:color w:val="79809A"/>
          <w:sz w:val="16"/>
          <w:szCs w:val="16"/>
        </w:rPr>
        <w:t xml:space="preserve">Jadual C1.  Sel dengan baki piawai melebihi 1.9 sisihan piawai daripada model tambahan zon + tahun.</w:t>
      </w:r>
    </w:p>
    <w:p>
      <w:pPr>
        <w:spacing w:after="120" w:before="0" w:line="276"/>
      </w:pPr>
      <w:r>
        <w:rPr>
          <w:rFonts w:ascii="Calibri" w:cs="Calibri" w:eastAsia="Calibri" w:hAnsi="Calibri"/>
          <w:color w:val="474D61"/>
          <w:sz w:val="21"/>
          <w:szCs w:val="21"/>
        </w:rPr>
        <w:t xml:space="preserve">Kesemua tiga berlaku pada 2025. Namun ketiga-tiganya tidak sama sifatnya, dan perbezaan itu penting.</w:t>
      </w:r>
    </w:p>
    <w:p>
      <w:pPr>
        <w:pStyle w:val="Heading2"/>
        <w:spacing w:after="120" w:before="260"/>
      </w:pPr>
      <w:r>
        <w:rPr>
          <w:rFonts w:ascii="Calibri" w:cs="Calibri" w:eastAsia="Calibri" w:hAnsi="Calibri"/>
          <w:b/>
          <w:bCs/>
          <w:color w:val="000078"/>
          <w:sz w:val="24"/>
          <w:szCs w:val="24"/>
        </w:rPr>
        <w:t xml:space="preserve">Dua daripadanya kemungkinan besar isu data</w:t>
      </w:r>
    </w:p>
    <w:p>
      <w:pPr>
        <w:spacing w:after="120" w:before="0" w:line="276"/>
      </w:pPr>
      <w:r>
        <w:rPr>
          <w:rFonts w:ascii="Calibri" w:cs="Calibri" w:eastAsia="Calibri" w:hAnsi="Calibri"/>
          <w:b w:val="false"/>
          <w:bCs w:val="false"/>
          <w:color w:val="474D61"/>
          <w:sz w:val="21"/>
          <w:szCs w:val="21"/>
        </w:rPr>
        <w:t xml:space="preserve">Bilangan penternak Zon Tenggara melonjak 524 → 1,362 dan Zon Timur Laut jatuh 479 → 123 dalam tempoh satu tahun. Apabila dipecahkan mengikut komoditi, </w:t>
      </w:r>
      <w:r>
        <w:rPr>
          <w:rFonts w:ascii="Calibri" w:cs="Calibri" w:eastAsia="Calibri" w:hAnsi="Calibri"/>
          <w:b/>
          <w:bCs/>
          <w:color w:val="474D61"/>
          <w:sz w:val="21"/>
          <w:szCs w:val="21"/>
        </w:rPr>
        <w:t xml:space="preserve">kesemua tujuh komoditi bergerak serentak dalam arah yang sama</w:t>
      </w:r>
      <w:r>
        <w:rPr>
          <w:rFonts w:ascii="Calibri" w:cs="Calibri" w:eastAsia="Calibri" w:hAnsi="Calibri"/>
          <w:b w:val="false"/>
          <w:bCs w:val="false"/>
          <w:color w:val="474D61"/>
          <w:sz w:val="21"/>
          <w:szCs w:val="21"/>
        </w:rPr>
        <w:t xml:space="preserve"> bagi kedua-dua zon — lembu, kerbau, kambing dan bebiri sekali gus. Perubahan pasaran sebenar tidak berkelakuan begitu; pemindahan pangkalan data atau pendaftaran semula memang begitu. Kedua-dua angka ini patut disahkan secara pentadbiran sebelum digunakan.</w:t>
      </w:r>
    </w:p>
    <w:p>
      <w:pPr>
        <w:pStyle w:val="Heading2"/>
        <w:spacing w:after="120" w:before="260"/>
      </w:pPr>
      <w:r>
        <w:rPr>
          <w:rFonts w:ascii="Calibri" w:cs="Calibri" w:eastAsia="Calibri" w:hAnsi="Calibri"/>
          <w:b/>
          <w:bCs/>
          <w:color w:val="000078"/>
          <w:sz w:val="24"/>
          <w:szCs w:val="24"/>
        </w:rPr>
        <w:t xml:space="preserve">Yang ketiga ialah isu operasi sebenar</w:t>
      </w:r>
    </w:p>
    <w:p>
      <w:pPr>
        <w:spacing w:after="120" w:before="0" w:line="276"/>
      </w:pPr>
      <w:r>
        <w:rPr>
          <w:rFonts w:ascii="Calibri" w:cs="Calibri" w:eastAsia="Calibri" w:hAnsi="Calibri"/>
          <w:b w:val="false"/>
          <w:bCs w:val="false"/>
          <w:color w:val="474D61"/>
          <w:sz w:val="21"/>
          <w:szCs w:val="21"/>
        </w:rPr>
        <w:t xml:space="preserve">Zon Timur menghasilkan 7,930 unit output pada 2025 berbanding jangkaan 34,271. Ia bukan kejatuhan menyeluruh — ia </w:t>
      </w:r>
      <w:r>
        <w:rPr>
          <w:rFonts w:ascii="Calibri" w:cs="Calibri" w:eastAsia="Calibri" w:hAnsi="Calibri"/>
          <w:b/>
          <w:bCs/>
          <w:color w:val="474D61"/>
          <w:sz w:val="21"/>
          <w:szCs w:val="21"/>
        </w:rPr>
        <w:t xml:space="preserve">terpilih</w:t>
      </w:r>
      <w:r>
        <w:rPr>
          <w:rFonts w:ascii="Calibri" w:cs="Calibri" w:eastAsia="Calibri" w:hAnsi="Calibri"/>
          <w:b w:val="false"/>
          <w:bCs w:val="false"/>
          <w:color w:val="474D61"/>
          <w:sz w:val="21"/>
          <w:szCs w:val="21"/>
        </w:rPr>
        <w:t xml:space="preser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100"/>
        <w:gridCol w:w="1500"/>
        <w:gridCol w:w="1300"/>
      </w:tblGrid>
      <w:tr>
        <w:trPr>
          <w:tblHeader/>
        </w:trPr>
        <w:tc>
          <w:tcPr>
            <w:tcW w:type="dxa" w:w="2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Aliran aktiviti</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21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Median tahun lain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Δ</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Δ %</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Vaksinasi</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1,901</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7,753</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−5,852</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−75%</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Ujian lapangan</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144</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927</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−783</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−84%</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Lawat siasat</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1,302</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1,877</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−575</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−31%</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Khidmat nasihat</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1,519</w:t>
            </w:r>
          </w:p>
        </w:tc>
        <w:tc>
          <w:tcPr>
            <w:tcW w:type="dxa" w:w="2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2,064</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−546</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−26%</w:t>
            </w:r>
          </w:p>
        </w:tc>
      </w:tr>
    </w:tbl>
    <w:p>
      <w:pPr>
        <w:spacing w:after="200" w:before="40"/>
      </w:pPr>
      <w:r>
        <w:rPr>
          <w:rFonts w:ascii="Calibri" w:cs="Calibri" w:eastAsia="Calibri" w:hAnsi="Calibri"/>
          <w:i/>
          <w:iCs/>
          <w:color w:val="79809A"/>
          <w:sz w:val="16"/>
          <w:szCs w:val="16"/>
        </w:rPr>
        <w:t xml:space="preserve">Jadual C2.  Empat aliran dengan sisihan terbesar bagi Zon Timur 2025, berbanding median empat tahun yang lain.</w:t>
      </w:r>
    </w:p>
    <w:p>
      <w:pPr>
        <w:spacing w:after="120" w:before="0" w:line="276"/>
      </w:pPr>
      <w:r>
        <w:rPr>
          <w:rFonts w:ascii="Calibri" w:cs="Calibri" w:eastAsia="Calibri" w:hAnsi="Calibri"/>
          <w:color w:val="474D61"/>
          <w:sz w:val="21"/>
          <w:szCs w:val="21"/>
        </w:rPr>
        <w:t xml:space="preserve">Kerja kempen — vaksinasi dan ujian lapangan — jatuh 75% dan 84%. Kerja nasihat dan lawat siasat jatuh jauh lebih sedikit, 26% dan 31%. Zon itu masih beroperasi; yang berhenti ialah aktiviti berskala besar yang bergantung kepada bekalan vaksin, akses makmal, atau program kempen yang dijadualkan dari pusat.</w:t>
      </w:r>
    </w:p>
    <w:p>
      <w:r>
        <w:br w:type="page"/>
      </w:r>
    </w:p>
    <w:p>
      <w:pPr>
        <w:pStyle w:val="Heading1"/>
        <w:spacing w:after="160" w:before="360"/>
      </w:pPr>
      <w:r>
        <w:rPr>
          <w:rFonts w:ascii="Calibri" w:cs="Calibri" w:eastAsia="Calibri" w:hAnsi="Calibri"/>
          <w:b/>
          <w:bCs/>
          <w:color w:val="000078"/>
          <w:sz w:val="30"/>
          <w:szCs w:val="30"/>
        </w:rPr>
        <w:t xml:space="preserve">D.  Aliran aktiviti mana yang mencipta ketidakstabilan</w:t>
      </w:r>
    </w:p>
    <w:p>
      <w:pPr>
        <w:spacing w:after="120" w:before="0" w:line="276"/>
      </w:pPr>
      <w:r>
        <w:rPr>
          <w:rFonts w:ascii="Calibri" w:cs="Calibri" w:eastAsia="Calibri" w:hAnsi="Calibri"/>
          <w:color w:val="474D61"/>
          <w:sz w:val="21"/>
          <w:szCs w:val="21"/>
        </w:rPr>
        <w:t xml:space="preserve">Jika output berayun tetapi bilangan pegawai tidak, punca ayunan itu mesti berada dalam campuran aktiviti. Jadual di bawah menunjukkan sepuluh aliran pada peringkat keseluruhan.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100"/>
        <w:gridCol w:w="1800"/>
      </w:tblGrid>
      <w:tr>
        <w:trPr>
          <w:tblHeader/>
        </w:trPr>
        <w:tc>
          <w:tcPr>
            <w:tcW w:type="dxa" w:w="2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Aliran aktiviti</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1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CV</w:t>
            </w:r>
          </w:p>
        </w:tc>
        <w:tc>
          <w:tcPr>
            <w:tcW w:type="dxa" w:w="18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Maks ÷ min</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Regulatori</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843</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2,471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6,235</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67.3%</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7.40×</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Mesyuarat</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3,837</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1,747</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1,862</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48.3%</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2.75×</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Kes rawatan</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7,391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7,888</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15,783</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39.6%</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2.49×</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Ujian lapangan</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114,608</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91,004</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59,963</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33.1%</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2.28×</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Kesihatan gerompok</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3,994</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3,811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4,949</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28.2%</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2.05×</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Pensampelan</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53,492</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37,041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42,808</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17.5%</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1.48×</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Vaksinasi</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79,761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81,861</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107,581</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14.4%</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1.35×</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Lawat siasat</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7,116</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5,593</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5,342</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13.0%</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1.33×</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Pembiakbakaan</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1,942</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1,569</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2,010</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11.2%</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1.28×</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Khidmat nasihat</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20,828</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17,998</w:t>
            </w:r>
          </w:p>
        </w:tc>
        <w:tc>
          <w:tcPr>
            <w:tcW w:type="dxa" w:w="14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20,072</w:t>
            </w:r>
          </w:p>
        </w:tc>
        <w:tc>
          <w:tcPr>
            <w:tcW w:type="dxa" w:w="11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5.8%</w:t>
            </w:r>
          </w:p>
        </w:tc>
        <w:tc>
          <w:tcPr>
            <w:tcW w:type="dxa" w:w="18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1.16×</w:t>
            </w:r>
          </w:p>
        </w:tc>
      </w:tr>
    </w:tbl>
    <w:p>
      <w:pPr>
        <w:spacing w:after="200" w:before="40"/>
      </w:pPr>
      <w:r>
        <w:rPr>
          <w:rFonts w:ascii="Calibri" w:cs="Calibri" w:eastAsia="Calibri" w:hAnsi="Calibri"/>
          <w:i/>
          <w:iCs/>
          <w:color w:val="79809A"/>
          <w:sz w:val="16"/>
          <w:szCs w:val="16"/>
        </w:rPr>
        <w:t xml:space="preserve">Jadual D1.  Aliran aktiviti pada peringkat keseluruhan, disusun daripada paling tidak stabil.</w:t>
      </w:r>
    </w:p>
    <w:p>
      <w:pPr>
        <w:spacing w:after="120" w:before="0" w:line="276"/>
      </w:pPr>
      <w:r>
        <w:rPr>
          <w:rFonts w:ascii="Calibri" w:cs="Calibri" w:eastAsia="Calibri" w:hAnsi="Calibri"/>
          <w:b w:val="false"/>
          <w:bCs w:val="false"/>
          <w:color w:val="474D61"/>
          <w:sz w:val="21"/>
          <w:szCs w:val="21"/>
        </w:rPr>
        <w:t xml:space="preserve">Khidmat nasihat — teras kerja pengembangan — ialah aliran </w:t>
      </w:r>
      <w:r>
        <w:rPr>
          <w:rFonts w:ascii="Calibri" w:cs="Calibri" w:eastAsia="Calibri" w:hAnsi="Calibri"/>
          <w:b/>
          <w:bCs/>
          <w:color w:val="474D61"/>
          <w:sz w:val="21"/>
          <w:szCs w:val="21"/>
        </w:rPr>
        <w:t xml:space="preserve">paling stabil dalam keseluruhan set data</w:t>
      </w:r>
      <w:r>
        <w:rPr>
          <w:rFonts w:ascii="Calibri" w:cs="Calibri" w:eastAsia="Calibri" w:hAnsi="Calibri"/>
          <w:b w:val="false"/>
          <w:bCs w:val="false"/>
          <w:color w:val="474D61"/>
          <w:sz w:val="21"/>
          <w:szCs w:val="21"/>
        </w:rPr>
        <w:t xml:space="preserve"> dengan CV hanya 5.8%. Aliran yang mencipta ayunan besar ialah kerja berkelompok dan kerja pematuhan. Ini mengesahkan bahawa jumlah output bukan ukuran usaha pengembangan.</w:t>
      </w:r>
    </w:p>
    <w:p>
      <w:pPr>
        <w:pStyle w:val="Heading2"/>
        <w:spacing w:after="120" w:before="260"/>
      </w:pPr>
      <w:r>
        <w:rPr>
          <w:rFonts w:ascii="Calibri" w:cs="Calibri" w:eastAsia="Calibri" w:hAnsi="Calibri"/>
          <w:b/>
          <w:bCs/>
          <w:color w:val="000078"/>
          <w:sz w:val="24"/>
          <w:szCs w:val="24"/>
        </w:rPr>
        <w:t xml:space="preserve">Apa yang menggerakkan setiap tahun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700"/>
      </w:tblGrid>
      <w:tr>
        <w:trPr>
          <w:tblHeader/>
        </w:trPr>
        <w:tc>
          <w:tcPr>
            <w:tcW w:type="dxa" w:w="2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Aliran aktiviti</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2021→22</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2022→23</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2023→24</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2024→25</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Ujian lapangan</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−11,698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−11,906</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−40,824</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+9,783</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Vaksinasi</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+698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+1,402</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+17,945</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+7,775</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Pensampelan</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−3,810</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−12,641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−957</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+6,724</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Kes rawatan</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−1,065</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+1,562</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+3,366</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+4,529</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Regulatori</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+2,221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−593</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−237</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+4,001</w:t>
            </w:r>
          </w:p>
        </w:tc>
      </w:tr>
      <w:tr>
        <w:tc>
          <w:tcPr>
            <w:tcW w:type="dxa" w:w="23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Enam aliran lain</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−5,458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−1,541</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+4,208</w:t>
            </w:r>
          </w:p>
        </w:tc>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−691</w:t>
            </w:r>
          </w:p>
        </w:tc>
      </w:tr>
      <w:tr>
        <w:tc>
          <w:tcPr>
            <w:tcW w:type="dxa" w:w="2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−19,112</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−23,717</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−16,499</w:t>
            </w:r>
          </w:p>
        </w:tc>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+32,121</w:t>
            </w:r>
          </w:p>
        </w:tc>
      </w:tr>
    </w:tbl>
    <w:p>
      <w:pPr>
        <w:spacing w:after="200" w:before="40"/>
      </w:pPr>
      <w:r>
        <w:rPr>
          <w:rFonts w:ascii="Calibri" w:cs="Calibri" w:eastAsia="Calibri" w:hAnsi="Calibri"/>
          <w:i/>
          <w:iCs/>
          <w:color w:val="79809A"/>
          <w:sz w:val="16"/>
          <w:szCs w:val="16"/>
        </w:rPr>
        <w:t xml:space="preserve">Jadual D2.  Sumbangan setiap aliran kepada perubahan output tahunan, unit.</w:t>
      </w:r>
    </w:p>
    <w:p>
      <w:pPr>
        <w:spacing w:after="120" w:before="0" w:line="276"/>
      </w:pPr>
      <w:r>
        <w:rPr>
          <w:rFonts w:ascii="Calibri" w:cs="Calibri" w:eastAsia="Calibri" w:hAnsi="Calibri"/>
          <w:b w:val="false"/>
          <w:bCs w:val="false"/>
          <w:color w:val="474D61"/>
          <w:sz w:val="21"/>
          <w:szCs w:val="21"/>
        </w:rPr>
        <w:t xml:space="preserve">Satu aliran menguasai keseluruhan cerita. Ujian lapangan menyumbang </w:t>
      </w:r>
      <w:r>
        <w:rPr>
          <w:rFonts w:ascii="Calibri" w:cs="Calibri" w:eastAsia="Calibri" w:hAnsi="Calibri"/>
          <w:b/>
          <w:bCs/>
          <w:color w:val="474D61"/>
          <w:sz w:val="21"/>
          <w:szCs w:val="21"/>
        </w:rPr>
        <w:t xml:space="preserve">−40,824 unit</w:t>
      </w:r>
      <w:r>
        <w:rPr>
          <w:rFonts w:ascii="Calibri" w:cs="Calibri" w:eastAsia="Calibri" w:hAnsi="Calibri"/>
          <w:b w:val="false"/>
          <w:bCs w:val="false"/>
          <w:color w:val="474D61"/>
          <w:sz w:val="21"/>
          <w:szCs w:val="21"/>
        </w:rPr>
        <w:t xml:space="preserve"> pada 2023→24 sahaja — lebih besar daripada jumlah penurunan bersih tahun itu — sebahagiannya ditampung oleh lonjakan vaksinasi +17,945. Pemulihan 2024→25 pula datang daripada ketiga-tiga aliran berkelompok secara serentak.</w:t>
      </w:r>
    </w:p>
    <w:p>
      <w:pPr>
        <w:pStyle w:val="Heading2"/>
        <w:spacing w:after="120" w:before="260"/>
      </w:pPr>
      <w:r>
        <w:rPr>
          <w:rFonts w:ascii="Calibri" w:cs="Calibri" w:eastAsia="Calibri" w:hAnsi="Calibri"/>
          <w:b/>
          <w:bCs/>
          <w:color w:val="000078"/>
          <w:sz w:val="24"/>
          <w:szCs w:val="24"/>
        </w:rPr>
        <w:t xml:space="preserve">Adakah zon bergerak bersama?</w:t>
      </w:r>
    </w:p>
    <w:p>
      <w:pPr>
        <w:spacing w:after="120" w:before="0" w:line="276"/>
      </w:pPr>
      <w:r>
        <w:rPr>
          <w:rFonts w:ascii="Calibri" w:cs="Calibri" w:eastAsia="Calibri" w:hAnsi="Calibri"/>
          <w:color w:val="474D61"/>
          <w:sz w:val="21"/>
          <w:szCs w:val="21"/>
        </w:rPr>
        <w:t xml:space="preserve">Jika terdapat pemacu kebangsaan yang sama, siri output zon sepatutnya berkorelasi positif. Ia tidak.</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200"/>
      </w:tblGrid>
      <w:tr>
        <w:trPr>
          <w:tblHeader/>
        </w:trPr>
        <w:tc>
          <w:tcPr>
            <w:tcW w:type="dxa" w:w="28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Pasangan zon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Korelasi</w:t>
            </w:r>
          </w:p>
        </w:tc>
        <w:tc>
          <w:tcPr>
            <w:tcW w:type="dxa" w:w="3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Tafsiran</w:t>
            </w:r>
          </w:p>
        </w:tc>
      </w:tr>
      <w:tr>
        <w:tc>
          <w:tcPr>
            <w:tcW w:type="dxa" w:w="28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 &amp; BARAT DAYA</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−0.85</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bergerak hampir bertentangan</w:t>
            </w:r>
          </w:p>
        </w:tc>
      </w:tr>
      <w:tr>
        <w:tc>
          <w:tcPr>
            <w:tcW w:type="dxa" w:w="28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 &amp; SELATAN</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+0.84</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bergerak bersama</w:t>
            </w:r>
          </w:p>
        </w:tc>
      </w:tr>
      <w:tr>
        <w:tc>
          <w:tcPr>
            <w:tcW w:type="dxa" w:w="28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 &amp; TENGGARA</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−0.71</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bergerak bertentangan</w:t>
            </w:r>
          </w:p>
        </w:tc>
      </w:tr>
      <w:tr>
        <w:tc>
          <w:tcPr>
            <w:tcW w:type="dxa" w:w="28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&amp; TIMUR LAUT</w:t>
            </w:r>
          </w:p>
        </w:tc>
        <w:tc>
          <w:tcPr>
            <w:tcW w:type="dxa" w:w="15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−0.65</w:t>
            </w:r>
          </w:p>
        </w:tc>
        <w:tc>
          <w:tcPr>
            <w:tcW w:type="dxa" w:w="32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bergerak bertentangan</w:t>
            </w:r>
          </w:p>
        </w:tc>
      </w:tr>
      <w:tr>
        <w:tc>
          <w:tcPr>
            <w:tcW w:type="dxa" w:w="28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Purata 21 pasangan</w:t>
            </w:r>
          </w:p>
        </w:tc>
        <w:tc>
          <w:tcPr>
            <w:tcW w:type="dxa" w:w="15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−0.12</w:t>
            </w:r>
          </w:p>
        </w:tc>
        <w:tc>
          <w:tcPr>
            <w:tcW w:type="dxa" w:w="3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pada dasarnya bebas</w:t>
            </w:r>
          </w:p>
        </w:tc>
      </w:tr>
    </w:tbl>
    <w:p>
      <w:pPr>
        <w:spacing w:after="200" w:before="40"/>
      </w:pPr>
      <w:r>
        <w:rPr>
          <w:rFonts w:ascii="Calibri" w:cs="Calibri" w:eastAsia="Calibri" w:hAnsi="Calibri"/>
          <w:i/>
          <w:iCs/>
          <w:color w:val="79809A"/>
          <w:sz w:val="16"/>
          <w:szCs w:val="16"/>
        </w:rPr>
        <w:t xml:space="preserve">Jadual D3.  Korelasi berpasangan siri output teknikal, 2021–2025.</w:t>
      </w:r>
    </w:p>
    <w:p>
      <w:pPr>
        <w:spacing w:after="120" w:before="0" w:line="276"/>
      </w:pPr>
      <w:r>
        <w:rPr>
          <w:rFonts w:ascii="Calibri" w:cs="Calibri" w:eastAsia="Calibri" w:hAnsi="Calibri"/>
          <w:color w:val="474D61"/>
          <w:sz w:val="21"/>
          <w:szCs w:val="21"/>
        </w:rPr>
        <w:t xml:space="preserve">Purata korelasi −0.12 bermakna mengetahui apa yang berlaku di satu zon tidak memberi maklumat tentang zon lain. Ini menguatkan dapatan Bahagian B: pergerakan adalah setempat, bukan kebangsaan.</w:t>
      </w:r>
    </w:p>
    <w:p>
      <w:r>
        <w:br w:type="page"/>
      </w:r>
    </w:p>
    <w:p>
      <w:pPr>
        <w:pStyle w:val="Heading1"/>
        <w:spacing w:after="160" w:before="360"/>
      </w:pPr>
      <w:r>
        <w:rPr>
          <w:rFonts w:ascii="Calibri" w:cs="Calibri" w:eastAsia="Calibri" w:hAnsi="Calibri"/>
          <w:b/>
          <w:bCs/>
          <w:color w:val="000078"/>
          <w:sz w:val="30"/>
          <w:szCs w:val="30"/>
        </w:rPr>
        <w:t xml:space="preserve">E.  Isyarat awal 2026</w:t>
      </w:r>
    </w:p>
    <w:p>
      <w:pPr>
        <w:spacing w:after="120" w:before="0" w:line="276"/>
      </w:pPr>
      <w:r>
        <w:rPr>
          <w:rFonts w:ascii="Calibri" w:cs="Calibri" w:eastAsia="Calibri" w:hAnsi="Calibri"/>
          <w:color w:val="474D61"/>
          <w:sz w:val="21"/>
          <w:szCs w:val="21"/>
        </w:rPr>
        <w:t xml:space="preserve">Lembaran 2026 meliputi Januari hingga April sahaja. Ia tidak boleh dibandingkan terus dengan tahun penuh. Untuk semakan kasar, nilai empat bulan didarab tiga — dengan andaian aktiviti tersebar sekata sepanjang tahun, yang mungkin tidak benar bagi kerja kempen bermusim. Angka ini isyarat, bukan ukuran.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1350"/>
        <w:gridCol w:w="1600"/>
        <w:gridCol w:w="1600"/>
        <w:gridCol w:w="1300"/>
      </w:tblGrid>
      <w:tr>
        <w:trPr>
          <w:tblHeader/>
        </w:trPr>
        <w:tc>
          <w:tcPr>
            <w:tcW w:type="dxa" w:w="17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3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35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2026 (4 bln)</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Kadar tahunan</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vs 2025</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20,313</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21,397</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10,941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32,823</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+53%</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17,358</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22,099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8,935</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26,805</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+21%</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41,106</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47,638</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18,857</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56,571</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+19%</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46,185</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53,601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17,934</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53,802</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+0%</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45,103</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54,609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17,059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51,177</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15,870</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7,930</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2,006</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6,018</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−24%</w:t>
            </w:r>
          </w:p>
        </w:tc>
      </w:tr>
      <w:tr>
        <w:tc>
          <w:tcPr>
            <w:tcW w:type="dxa" w:w="17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48,549</w:t>
            </w:r>
          </w:p>
        </w:tc>
        <w:tc>
          <w:tcPr>
            <w:tcW w:type="dxa" w:w="135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59,331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12,144</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36,432</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−39%</w:t>
            </w:r>
          </w:p>
        </w:tc>
      </w:tr>
    </w:tbl>
    <w:p>
      <w:pPr>
        <w:spacing w:after="200" w:before="40"/>
      </w:pPr>
      <w:r>
        <w:rPr>
          <w:rFonts w:ascii="Calibri" w:cs="Calibri" w:eastAsia="Calibri" w:hAnsi="Calibri"/>
          <w:i/>
          <w:iCs/>
          <w:color w:val="79809A"/>
          <w:sz w:val="16"/>
          <w:szCs w:val="16"/>
        </w:rPr>
        <w:t xml:space="preserve">Jadual E1.  Output teknikal, semakan awal 2026.</w:t>
      </w:r>
    </w:p>
    <w:p>
      <w:pPr>
        <w:pStyle w:val="Heading2"/>
        <w:spacing w:after="120" w:before="260"/>
      </w:pPr>
      <w:r>
        <w:rPr>
          <w:rFonts w:ascii="Calibri" w:cs="Calibri" w:eastAsia="Calibri" w:hAnsi="Calibri"/>
          <w:b/>
          <w:bCs/>
          <w:color w:val="000078"/>
          <w:sz w:val="24"/>
          <w:szCs w:val="24"/>
        </w:rPr>
        <w:t xml:space="preserve">Zon Timur — keadaan bertambah buruk, bukan pulih</w:t>
      </w:r>
    </w:p>
    <w:p>
      <w:pPr>
        <w:spacing w:after="120" w:before="0" w:line="276"/>
      </w:pPr>
      <w:r>
        <w:rPr>
          <w:rFonts w:ascii="Calibri" w:cs="Calibri" w:eastAsia="Calibri" w:hAnsi="Calibri"/>
          <w:color w:val="474D61"/>
          <w:sz w:val="21"/>
          <w:szCs w:val="21"/>
        </w:rPr>
        <w:t xml:space="preserve">Ini dapatan paling mendesak dalam laporan. Zon Timur bukan sahaja tidak pulih daripada 2025; ia menurun lagi. Pecahan aliran menjelaskan apa yang berlaku.</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600"/>
        <w:gridCol w:w="1900"/>
      </w:tblGrid>
      <w:tr>
        <w:trPr>
          <w:tblHeader/>
        </w:trPr>
        <w:tc>
          <w:tcPr>
            <w:tcW w:type="dxa" w:w="22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Aliran aktiviti</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3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c>
          <w:tcPr>
            <w:tcW w:type="dxa" w:w="16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2026 (×3)</w:t>
            </w:r>
          </w:p>
        </w:tc>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Status</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Ujian lapangan</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936</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144</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0</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terhenti</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Pensampelan</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1,545</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1,698</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57</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hampir terhenti</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Vaksinasi</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8,591</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1,901</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1,071</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C0322F"/>
                <w:sz w:val="18"/>
                <w:szCs w:val="18"/>
              </w:rPr>
              <w:t xml:space="preserve">terus menurun</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Regulatori</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237</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499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81</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menurun</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Khidmat nasihat</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1,963</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1,519</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1,866</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pulih</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Lawat siasat</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1,549</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1,302</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1,740</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pulih</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Kes rawatan</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578</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380</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630</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pulih</w:t>
            </w:r>
          </w:p>
        </w:tc>
      </w:tr>
      <w:tr>
        <w:tc>
          <w:tcPr>
            <w:tcW w:type="dxa" w:w="22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Pembiakbakaan</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w:t>
            </w:r>
          </w:p>
        </w:tc>
        <w:tc>
          <w:tcPr>
            <w:tcW w:type="dxa" w:w="13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w:t>
            </w:r>
          </w:p>
        </w:tc>
        <w:tc>
          <w:tcPr>
            <w:tcW w:type="dxa" w:w="16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93</w:t>
            </w:r>
          </w:p>
        </w:tc>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b/>
                <w:bCs/>
                <w:color w:val="4EA506"/>
                <w:sz w:val="18"/>
                <w:szCs w:val="18"/>
              </w:rPr>
              <w:t xml:space="preserve">pulih</w:t>
            </w:r>
          </w:p>
        </w:tc>
      </w:tr>
    </w:tbl>
    <w:p>
      <w:pPr>
        <w:spacing w:after="200" w:before="40"/>
      </w:pPr>
      <w:r>
        <w:rPr>
          <w:rFonts w:ascii="Calibri" w:cs="Calibri" w:eastAsia="Calibri" w:hAnsi="Calibri"/>
          <w:i/>
          <w:iCs/>
          <w:color w:val="79809A"/>
          <w:sz w:val="16"/>
          <w:szCs w:val="16"/>
        </w:rPr>
        <w:t xml:space="preserve">Jadual E2.  Zon Timur mengikut aliran. Lajur 2026 ialah nilai empat bulan didarab tiga.</w:t>
      </w:r>
    </w:p>
    <w:p>
      <w:pPr>
        <w:pBdr>
          <w:left w:val="single" w:color="C0322F" w:sz="18" w:space="12"/>
        </w:pBdr>
        <w:spacing w:after="200" w:before="160"/>
        <w:ind w:left="200"/>
      </w:pPr>
      <w:r>
        <w:rPr>
          <w:rFonts w:ascii="Calibri" w:cs="Calibri" w:eastAsia="Calibri" w:hAnsi="Calibri"/>
          <w:b/>
          <w:bCs/>
          <w:color w:val="13151E"/>
          <w:sz w:val="21"/>
          <w:szCs w:val="21"/>
        </w:rPr>
        <w:t xml:space="preserve">Corak ini amat khusus.  </w:t>
      </w:r>
      <w:r>
        <w:rPr>
          <w:rFonts w:ascii="Calibri" w:cs="Calibri" w:eastAsia="Calibri" w:hAnsi="Calibri"/>
          <w:color w:val="474D61"/>
          <w:sz w:val="21"/>
          <w:szCs w:val="21"/>
        </w:rPr>
        <w:t xml:space="preserve">Keempat-empat aliran yang bergantung kepada makmal, bekalan vaksin atau kempen berjadual sedang terhenti — ujian lapangan sudah mencecah sifar. Pada masa yang sama, keempat-empat aliran yang bergantung kepada pegawai melawat ladang telah pulih ke paras normal atau lebih baik. Zon itu mempunyai pegawai dan mereka sedang bekerja; yang tiada ialah sesuatu yang lain.</w:t>
      </w:r>
    </w:p>
    <w:p>
      <w:pPr>
        <w:spacing w:after="120" w:before="0" w:line="276"/>
      </w:pPr>
      <w:r>
        <w:rPr>
          <w:rFonts w:ascii="Calibri" w:cs="Calibri" w:eastAsia="Calibri" w:hAnsi="Calibri"/>
          <w:color w:val="474D61"/>
          <w:sz w:val="21"/>
          <w:szCs w:val="21"/>
        </w:rPr>
        <w:t xml:space="preserve">Zon Utara juga patut diperhatikan pada −39%, tetapi tafsirannya berbeza: Zon Utara mempunyai sejarah ayunan besar (CV 24.8%, julat 33,631 hingga 65,294) dan kadar tahunan 36,432 masih berada dalam julat sejarahnya. Zon Timur pada 6,018 berada jauh di bawah minimum sejarahnya, iaitu 7,930.</w:t>
      </w:r>
    </w:p>
    <w:p>
      <w:pPr>
        <w:pStyle w:val="Heading1"/>
        <w:spacing w:after="160" w:before="360"/>
      </w:pPr>
      <w:r>
        <w:rPr>
          <w:rFonts w:ascii="Calibri" w:cs="Calibri" w:eastAsia="Calibri" w:hAnsi="Calibri"/>
          <w:b/>
          <w:bCs/>
          <w:color w:val="000078"/>
          <w:sz w:val="30"/>
          <w:szCs w:val="30"/>
        </w:rPr>
        <w:t xml:space="preserve">F.  Faktor pendasar yang wajar disiasat</w:t>
      </w:r>
    </w:p>
    <w:p>
      <w:pPr>
        <w:spacing w:after="120" w:before="0" w:line="276"/>
      </w:pPr>
      <w:r>
        <w:rPr>
          <w:rFonts w:ascii="Calibri" w:cs="Calibri" w:eastAsia="Calibri" w:hAnsi="Calibri"/>
          <w:color w:val="474D61"/>
          <w:sz w:val="21"/>
          <w:szCs w:val="21"/>
        </w:rPr>
        <w:t xml:space="preserve">Analisis ini boleh menunjukkan di mana dan bila sesuatu berlaku, tetapi bukan mengapa. Empat hipotesis di bawah konsisten dengan corak yang ditemui dan boleh diuji dengan maklumat yang sudah ada dalam jabatan.</w:t>
      </w:r>
    </w:p>
    <w:p>
      <w:pPr>
        <w:pStyle w:val="Heading3"/>
        <w:spacing w:after="100" w:before="200"/>
      </w:pPr>
      <w:r>
        <w:rPr>
          <w:rFonts w:ascii="Calibri" w:cs="Calibri" w:eastAsia="Calibri" w:hAnsi="Calibri"/>
          <w:b/>
          <w:bCs/>
          <w:color w:val="13151E"/>
          <w:sz w:val="21"/>
          <w:szCs w:val="21"/>
        </w:rPr>
        <w:t xml:space="preserve">1.  Kitaran kempen penyakit yang dijadualkan dari pusat</w:t>
      </w:r>
    </w:p>
    <w:p>
      <w:pPr>
        <w:pStyle w:val="ListParagraph"/>
        <w:numPr>
          <w:ilvl w:val="0"/>
          <w:numId w:val="2"/>
        </w:numPr>
        <w:spacing w:after="80" w:line="276"/>
      </w:pPr>
      <w:r>
        <w:rPr>
          <w:rFonts w:ascii="Calibri" w:cs="Calibri" w:eastAsia="Calibri" w:hAnsi="Calibri"/>
          <w:b/>
          <w:bCs/>
          <w:color w:val="474D61"/>
          <w:sz w:val="21"/>
          <w:szCs w:val="21"/>
        </w:rPr>
        <w:t xml:space="preserve">Bukti: </w:t>
      </w:r>
      <w:r>
        <w:rPr>
          <w:rFonts w:ascii="Calibri" w:cs="Calibri" w:eastAsia="Calibri" w:hAnsi="Calibri"/>
          <w:b w:val="false"/>
          <w:bCs w:val="false"/>
          <w:color w:val="474D61"/>
          <w:sz w:val="21"/>
          <w:szCs w:val="21"/>
        </w:rPr>
        <w:t xml:space="preserve">ujian lapangan menyumbang −40,824 unit dalam satu tahun; vaksinasi melonjak +17,945 pada tahun yang sama; kedua-duanya tidak berkorelasi dengan bilangan pegawai.</w:t>
      </w:r>
    </w:p>
    <w:p>
      <w:pPr>
        <w:pStyle w:val="ListParagraph"/>
        <w:numPr>
          <w:ilvl w:val="0"/>
          <w:numId w:val="2"/>
        </w:numPr>
        <w:spacing w:after="80" w:line="276"/>
      </w:pPr>
      <w:r>
        <w:rPr>
          <w:rFonts w:ascii="Calibri" w:cs="Calibri" w:eastAsia="Calibri" w:hAnsi="Calibri"/>
          <w:b/>
          <w:bCs/>
          <w:color w:val="474D61"/>
          <w:sz w:val="21"/>
          <w:szCs w:val="21"/>
        </w:rPr>
        <w:t xml:space="preserve">Ujian: </w:t>
      </w:r>
      <w:r>
        <w:rPr>
          <w:rFonts w:ascii="Calibri" w:cs="Calibri" w:eastAsia="Calibri" w:hAnsi="Calibri"/>
          <w:b w:val="false"/>
          <w:bCs w:val="false"/>
          <w:color w:val="474D61"/>
          <w:sz w:val="21"/>
          <w:szCs w:val="21"/>
        </w:rPr>
        <w:t xml:space="preserve">bandingkan siri output setiap zon dengan jadual kempen pembasmian dan program vaksinasi kebangsaan. Jika padan, ayunan zon bukan isu prestasi.</w:t>
      </w:r>
    </w:p>
    <w:p>
      <w:pPr>
        <w:pStyle w:val="Heading3"/>
        <w:spacing w:after="100" w:before="200"/>
      </w:pPr>
      <w:r>
        <w:rPr>
          <w:rFonts w:ascii="Calibri" w:cs="Calibri" w:eastAsia="Calibri" w:hAnsi="Calibri"/>
          <w:b/>
          <w:bCs/>
          <w:color w:val="13151E"/>
          <w:sz w:val="21"/>
          <w:szCs w:val="21"/>
        </w:rPr>
        <w:t xml:space="preserve">2.  Akses makmal dan rantaian bekalan</w:t>
      </w:r>
    </w:p>
    <w:p>
      <w:pPr>
        <w:pStyle w:val="ListParagraph"/>
        <w:numPr>
          <w:ilvl w:val="0"/>
          <w:numId w:val="2"/>
        </w:numPr>
        <w:spacing w:after="80" w:line="276"/>
      </w:pPr>
      <w:r>
        <w:rPr>
          <w:rFonts w:ascii="Calibri" w:cs="Calibri" w:eastAsia="Calibri" w:hAnsi="Calibri"/>
          <w:b/>
          <w:bCs/>
          <w:color w:val="474D61"/>
          <w:sz w:val="21"/>
          <w:szCs w:val="21"/>
        </w:rPr>
        <w:t xml:space="preserve">Bukti: </w:t>
      </w:r>
      <w:r>
        <w:rPr>
          <w:rFonts w:ascii="Calibri" w:cs="Calibri" w:eastAsia="Calibri" w:hAnsi="Calibri"/>
          <w:b w:val="false"/>
          <w:bCs w:val="false"/>
          <w:color w:val="474D61"/>
          <w:sz w:val="21"/>
          <w:szCs w:val="21"/>
        </w:rPr>
        <w:t xml:space="preserve">di Zon Timur, ujian lapangan dan pensampelan — kedua-duanya bergantung kepada makmal — terhenti serentak, sementara kerja yang tidak memerlukan makmal pulih sepenuhnya.</w:t>
      </w:r>
    </w:p>
    <w:p>
      <w:pPr>
        <w:pStyle w:val="ListParagraph"/>
        <w:numPr>
          <w:ilvl w:val="0"/>
          <w:numId w:val="2"/>
        </w:numPr>
        <w:spacing w:after="80" w:line="276"/>
      </w:pPr>
      <w:r>
        <w:rPr>
          <w:rFonts w:ascii="Calibri" w:cs="Calibri" w:eastAsia="Calibri" w:hAnsi="Calibri"/>
          <w:b/>
          <w:bCs/>
          <w:color w:val="474D61"/>
          <w:sz w:val="21"/>
          <w:szCs w:val="21"/>
        </w:rPr>
        <w:t xml:space="preserve">Ujian: </w:t>
      </w:r>
      <w:r>
        <w:rPr>
          <w:rFonts w:ascii="Calibri" w:cs="Calibri" w:eastAsia="Calibri" w:hAnsi="Calibri"/>
          <w:b w:val="false"/>
          <w:bCs w:val="false"/>
          <w:color w:val="474D61"/>
          <w:sz w:val="21"/>
          <w:szCs w:val="21"/>
        </w:rPr>
        <w:t xml:space="preserve">semak rekod penghantaran sampel, kapasiti makmal serantau, dan bekalan vaksin bagi Terengganu pada 2025 dan 2026.</w:t>
      </w:r>
    </w:p>
    <w:p>
      <w:pPr>
        <w:pStyle w:val="Heading3"/>
        <w:spacing w:after="100" w:before="200"/>
      </w:pPr>
      <w:r>
        <w:rPr>
          <w:rFonts w:ascii="Calibri" w:cs="Calibri" w:eastAsia="Calibri" w:hAnsi="Calibri"/>
          <w:b/>
          <w:bCs/>
          <w:color w:val="13151E"/>
          <w:sz w:val="21"/>
          <w:szCs w:val="21"/>
        </w:rPr>
        <w:t xml:space="preserve">3.  Ketidakselarasan takrifan atau amalan merekod antara zon</w:t>
      </w:r>
    </w:p>
    <w:p>
      <w:pPr>
        <w:pStyle w:val="ListParagraph"/>
        <w:numPr>
          <w:ilvl w:val="0"/>
          <w:numId w:val="2"/>
        </w:numPr>
        <w:spacing w:after="80" w:line="276"/>
      </w:pPr>
      <w:r>
        <w:rPr>
          <w:rFonts w:ascii="Calibri" w:cs="Calibri" w:eastAsia="Calibri" w:hAnsi="Calibri"/>
          <w:b/>
          <w:bCs/>
          <w:color w:val="474D61"/>
          <w:sz w:val="21"/>
          <w:szCs w:val="21"/>
        </w:rPr>
        <w:t xml:space="preserve">Bukti: </w:t>
      </w:r>
      <w:r>
        <w:rPr>
          <w:rFonts w:ascii="Calibri" w:cs="Calibri" w:eastAsia="Calibri" w:hAnsi="Calibri"/>
          <w:b w:val="false"/>
          <w:bCs w:val="false"/>
          <w:color w:val="474D61"/>
          <w:sz w:val="21"/>
          <w:szCs w:val="21"/>
        </w:rPr>
        <w:t xml:space="preserve">pekali variasi berjulat 10.1% hingga 74.1% merentas zon yang menjalankan program yang sama; lonjakan penternak yang melibatkan kesemua tujuh komoditi serentak.</w:t>
      </w:r>
    </w:p>
    <w:p>
      <w:pPr>
        <w:pStyle w:val="ListParagraph"/>
        <w:numPr>
          <w:ilvl w:val="0"/>
          <w:numId w:val="2"/>
        </w:numPr>
        <w:spacing w:after="80" w:line="276"/>
      </w:pPr>
      <w:r>
        <w:rPr>
          <w:rFonts w:ascii="Calibri" w:cs="Calibri" w:eastAsia="Calibri" w:hAnsi="Calibri"/>
          <w:b/>
          <w:bCs/>
          <w:color w:val="474D61"/>
          <w:sz w:val="21"/>
          <w:szCs w:val="21"/>
        </w:rPr>
        <w:t xml:space="preserve">Ujian: </w:t>
      </w:r>
      <w:r>
        <w:rPr>
          <w:rFonts w:ascii="Calibri" w:cs="Calibri" w:eastAsia="Calibri" w:hAnsi="Calibri"/>
          <w:b w:val="false"/>
          <w:bCs w:val="false"/>
          <w:color w:val="474D61"/>
          <w:sz w:val="21"/>
          <w:szCs w:val="21"/>
        </w:rPr>
        <w:t xml:space="preserve">audit ringkas cara tiga zon paling stabil dan tiga zon paling tidak stabil merekod aktiviti dalam Log Teknikal.</w:t>
      </w:r>
    </w:p>
    <w:p>
      <w:pPr>
        <w:pStyle w:val="Heading3"/>
        <w:spacing w:after="100" w:before="200"/>
      </w:pPr>
      <w:r>
        <w:rPr>
          <w:rFonts w:ascii="Calibri" w:cs="Calibri" w:eastAsia="Calibri" w:hAnsi="Calibri"/>
          <w:b/>
          <w:bCs/>
          <w:color w:val="13151E"/>
          <w:sz w:val="21"/>
          <w:szCs w:val="21"/>
        </w:rPr>
        <w:t xml:space="preserve">4.  Struktur ladang: saiz gerompok dan ketumpatan</w:t>
      </w:r>
    </w:p>
    <w:p>
      <w:pPr>
        <w:pStyle w:val="ListParagraph"/>
        <w:numPr>
          <w:ilvl w:val="0"/>
          <w:numId w:val="2"/>
        </w:numPr>
        <w:spacing w:after="80" w:line="276"/>
      </w:pPr>
      <w:r>
        <w:rPr>
          <w:rFonts w:ascii="Calibri" w:cs="Calibri" w:eastAsia="Calibri" w:hAnsi="Calibri"/>
          <w:b/>
          <w:bCs/>
          <w:color w:val="474D61"/>
          <w:sz w:val="21"/>
          <w:szCs w:val="21"/>
        </w:rPr>
        <w:t xml:space="preserve">Bukti: </w:t>
      </w:r>
      <w:r>
        <w:rPr>
          <w:rFonts w:ascii="Calibri" w:cs="Calibri" w:eastAsia="Calibri" w:hAnsi="Calibri"/>
          <w:b w:val="false"/>
          <w:bCs w:val="false"/>
          <w:color w:val="474D61"/>
          <w:sz w:val="21"/>
          <w:szCs w:val="21"/>
        </w:rPr>
        <w:t xml:space="preserve">output berkelompok mendominasi jumlah, jadi zon dengan ladang besar dan padat menjana lebih banyak rekod bagi setiap perjalanan.</w:t>
      </w:r>
    </w:p>
    <w:p>
      <w:pPr>
        <w:pStyle w:val="ListParagraph"/>
        <w:numPr>
          <w:ilvl w:val="0"/>
          <w:numId w:val="2"/>
        </w:numPr>
        <w:spacing w:after="80" w:line="276"/>
      </w:pPr>
      <w:r>
        <w:rPr>
          <w:rFonts w:ascii="Calibri" w:cs="Calibri" w:eastAsia="Calibri" w:hAnsi="Calibri"/>
          <w:b/>
          <w:bCs/>
          <w:color w:val="474D61"/>
          <w:sz w:val="21"/>
          <w:szCs w:val="21"/>
        </w:rPr>
        <w:t xml:space="preserve">Ujian: </w:t>
      </w:r>
      <w:r>
        <w:rPr>
          <w:rFonts w:ascii="Calibri" w:cs="Calibri" w:eastAsia="Calibri" w:hAnsi="Calibri"/>
          <w:b w:val="false"/>
          <w:bCs w:val="false"/>
          <w:color w:val="474D61"/>
          <w:sz w:val="21"/>
          <w:szCs w:val="21"/>
        </w:rPr>
        <w:t xml:space="preserve">kumpul saiz gerompok purata dan jarak perjalanan mengikut zon. Ini pemboleh ubah yang paling ketara tiada dalam set data semasa.</w:t>
      </w:r>
    </w:p>
    <w:p>
      <w:pPr>
        <w:pStyle w:val="Heading1"/>
        <w:spacing w:after="160" w:before="360"/>
      </w:pPr>
      <w:r>
        <w:rPr>
          <w:rFonts w:ascii="Calibri" w:cs="Calibri" w:eastAsia="Calibri" w:hAnsi="Calibri"/>
          <w:b/>
          <w:bCs/>
          <w:color w:val="000078"/>
          <w:sz w:val="30"/>
          <w:szCs w:val="30"/>
        </w:rPr>
        <w:t xml:space="preserve">G.  Batasan</w:t>
      </w:r>
    </w:p>
    <w:p>
      <w:pPr>
        <w:pStyle w:val="ListParagraph"/>
        <w:numPr>
          <w:ilvl w:val="0"/>
          <w:numId w:val="2"/>
        </w:numPr>
        <w:spacing w:after="80" w:line="276"/>
      </w:pPr>
      <w:r>
        <w:rPr>
          <w:rFonts w:ascii="Calibri" w:cs="Calibri" w:eastAsia="Calibri" w:hAnsi="Calibri"/>
          <w:color w:val="474D61"/>
          <w:sz w:val="21"/>
          <w:szCs w:val="21"/>
        </w:rPr>
        <w:t xml:space="preserve">Panel hanya mengandungi 35 cerapan. Kuasa statistik terhad, dan tren lima titik bagi setiap zon mudah terganggu oleh satu tahun yang luar biasa.</w:t>
      </w:r>
    </w:p>
    <w:p>
      <w:pPr>
        <w:pStyle w:val="ListParagraph"/>
        <w:numPr>
          <w:ilvl w:val="0"/>
          <w:numId w:val="2"/>
        </w:numPr>
        <w:spacing w:after="80" w:line="276"/>
      </w:pPr>
      <w:r>
        <w:rPr>
          <w:rFonts w:ascii="Calibri" w:cs="Calibri" w:eastAsia="Calibri" w:hAnsi="Calibri"/>
          <w:color w:val="474D61"/>
          <w:sz w:val="21"/>
          <w:szCs w:val="21"/>
        </w:rPr>
        <w:t xml:space="preserve">Analisis ini bersifat perkaitan, bukan kausal. Ia mengenal pasti corak yang memerlukan penjelasan, bukan memberi penjelasan itu.</w:t>
      </w:r>
    </w:p>
    <w:p>
      <w:pPr>
        <w:pStyle w:val="ListParagraph"/>
        <w:numPr>
          <w:ilvl w:val="0"/>
          <w:numId w:val="2"/>
        </w:numPr>
        <w:spacing w:after="80" w:line="276"/>
      </w:pPr>
      <w:r>
        <w:rPr>
          <w:rFonts w:ascii="Calibri" w:cs="Calibri" w:eastAsia="Calibri" w:hAnsi="Calibri"/>
          <w:color w:val="474D61"/>
          <w:sz w:val="21"/>
          <w:szCs w:val="21"/>
        </w:rPr>
        <w:t xml:space="preserve">Angka 2026 meliputi empat bulan sahaja dan didarab tiga untuk perbandingan kasar. Jika aktiviti kempen tertumpu pada separuh kedua tahun, kaedah ini memandang rendah kadar sebenar bagi semua zon.</w:t>
      </w:r>
    </w:p>
    <w:p>
      <w:pPr>
        <w:pStyle w:val="ListParagraph"/>
        <w:numPr>
          <w:ilvl w:val="0"/>
          <w:numId w:val="2"/>
        </w:numPr>
        <w:spacing w:after="80" w:line="276"/>
      </w:pPr>
      <w:r>
        <w:rPr>
          <w:rFonts w:ascii="Calibri" w:cs="Calibri" w:eastAsia="Calibri" w:hAnsi="Calibri"/>
          <w:color w:val="474D61"/>
          <w:sz w:val="21"/>
          <w:szCs w:val="21"/>
        </w:rPr>
        <w:t xml:space="preserve">Bilangan penternak bagi Zon Tenggara dan Zon Timur Laut pada 2025 diragui, dan sebarang analisis yang menggunakan penyebut itu — termasuk output setiap penternak — patut mengecualikan kedua-dua zon sehingga disahkan.</w:t>
      </w:r>
    </w:p>
    <w:p>
      <w:pPr>
        <w:pStyle w:val="ListParagraph"/>
        <w:numPr>
          <w:ilvl w:val="0"/>
          <w:numId w:val="2"/>
        </w:numPr>
        <w:spacing w:after="80" w:line="276"/>
      </w:pPr>
      <w:r>
        <w:rPr>
          <w:rFonts w:ascii="Calibri" w:cs="Calibri" w:eastAsia="Calibri" w:hAnsi="Calibri"/>
          <w:color w:val="474D61"/>
          <w:sz w:val="21"/>
          <w:szCs w:val="21"/>
        </w:rPr>
        <w:t xml:space="preserve">Jumlah output teknikal 2024 yang dikira daripada zon memberi 234,484 berbanding 234,476 dalam lembaran ringkasan. Beza lapan unit ini berpunca daripada pensampelan (tujuh) dan pembiakbakaan (satu).</w:t>
      </w:r>
    </w:p>
    <w:p>
      <w:r>
        <w:br w:type="page"/>
      </w:r>
    </w:p>
    <w:p>
      <w:pPr>
        <w:pStyle w:val="Heading1"/>
        <w:spacing w:after="160" w:before="360"/>
      </w:pPr>
      <w:r>
        <w:rPr>
          <w:rFonts w:ascii="Calibri" w:cs="Calibri" w:eastAsia="Calibri" w:hAnsi="Calibri"/>
          <w:b/>
          <w:bCs/>
          <w:color w:val="000078"/>
          <w:sz w:val="30"/>
          <w:szCs w:val="30"/>
        </w:rPr>
        <w:t xml:space="preserve">Lampiran.  Data penuh</w:t>
      </w:r>
    </w:p>
    <w:p>
      <w:pPr>
        <w:pStyle w:val="Heading3"/>
        <w:spacing w:after="100" w:before="200"/>
      </w:pPr>
      <w:r>
        <w:rPr>
          <w:rFonts w:ascii="Calibri" w:cs="Calibri" w:eastAsia="Calibri" w:hAnsi="Calibri"/>
          <w:b/>
          <w:bCs/>
          <w:color w:val="13151E"/>
          <w:sz w:val="21"/>
          <w:szCs w:val="21"/>
        </w:rPr>
        <w:t xml:space="preserve">Output teknikal mengikut zon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gridCol w:w="1480"/>
        <w:gridCol w:w="1480"/>
        <w:gridCol w:w="148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33,631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65,294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65,233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48,549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59,331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50,340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31,924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71,885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45,103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54,609</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70,703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42,220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30,417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41,106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47,638</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85,197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53,965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17,724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20,313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21,397</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18,578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42,565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32,319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46,185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53,601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14,045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19,139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15,151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15,870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7,930</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21,318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19,593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18,254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17,358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22,099</w:t>
            </w:r>
          </w:p>
        </w:tc>
      </w:tr>
      <w:t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293,812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274,700</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250,983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234,484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266,605</w:t>
            </w:r>
          </w:p>
        </w:tc>
      </w:tr>
    </w:tbl>
    <w:p>
      <w:pPr>
        <w:pStyle w:val="Heading3"/>
        <w:spacing w:after="100" w:before="200"/>
      </w:pPr>
      <w:r>
        <w:rPr>
          <w:rFonts w:ascii="Calibri" w:cs="Calibri" w:eastAsia="Calibri" w:hAnsi="Calibri"/>
          <w:b/>
          <w:bCs/>
          <w:color w:val="13151E"/>
          <w:sz w:val="21"/>
          <w:szCs w:val="21"/>
        </w:rPr>
        <w:t xml:space="preserve">Ladang dilawat mengikut zon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gridCol w:w="1480"/>
        <w:gridCol w:w="1480"/>
        <w:gridCol w:w="148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4,657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5,008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4,247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4,127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4,841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4,254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3,918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2,885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3,122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2,820</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5,402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3,983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3,213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3,940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5,204</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2,828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1,782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1,794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1,493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1,464</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2,145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2,385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2,167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2,423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2,375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2,147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2,360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1,758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1,982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1,523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2,856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2,659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2,482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2,181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2,507</w:t>
            </w:r>
          </w:p>
        </w:tc>
      </w:tr>
      <w:t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24,289</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22,095</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18,546</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19,268</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20,734</w:t>
            </w:r>
          </w:p>
        </w:tc>
      </w:tr>
    </w:tbl>
    <w:p>
      <w:pPr>
        <w:pStyle w:val="Heading3"/>
        <w:spacing w:after="100" w:before="200"/>
      </w:pPr>
      <w:r>
        <w:rPr>
          <w:rFonts w:ascii="Calibri" w:cs="Calibri" w:eastAsia="Calibri" w:hAnsi="Calibri"/>
          <w:b/>
          <w:bCs/>
          <w:color w:val="13151E"/>
          <w:sz w:val="21"/>
          <w:szCs w:val="21"/>
        </w:rPr>
        <w:t xml:space="preserve">Penternak data asas mengikut zon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gridCol w:w="1480"/>
        <w:gridCol w:w="1480"/>
        <w:gridCol w:w="148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297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625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614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684</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572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791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459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633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489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779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673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524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1,362</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370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434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383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524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123</w:t>
            </w:r>
          </w:p>
        </w:tc>
      </w:tr>
      <w:t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3,216</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3,404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3,885</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3,571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4,239</w:t>
            </w:r>
          </w:p>
        </w:tc>
      </w:tr>
    </w:tbl>
    <w:p>
      <w:pPr>
        <w:pStyle w:val="Heading3"/>
        <w:spacing w:after="100" w:before="200"/>
      </w:pPr>
      <w:r>
        <w:rPr>
          <w:rFonts w:ascii="Calibri" w:cs="Calibri" w:eastAsia="Calibri" w:hAnsi="Calibri"/>
          <w:b/>
          <w:bCs/>
          <w:color w:val="13151E"/>
          <w:sz w:val="21"/>
          <w:szCs w:val="21"/>
        </w:rPr>
        <w:t xml:space="preserve">Program PPV mengikut zon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gridCol w:w="1480"/>
        <w:gridCol w:w="1480"/>
        <w:gridCol w:w="148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77</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77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87</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80</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42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31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51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68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88</w:t>
            </w:r>
          </w:p>
        </w:tc>
      </w:tr>
      <w:t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287</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352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430</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506</w:t>
            </w:r>
          </w:p>
        </w:tc>
      </w:tr>
    </w:tbl>
    <w:p>
      <w:pPr>
        <w:pStyle w:val="Heading3"/>
        <w:spacing w:after="100" w:before="200"/>
      </w:pPr>
      <w:r>
        <w:rPr>
          <w:rFonts w:ascii="Calibri" w:cs="Calibri" w:eastAsia="Calibri" w:hAnsi="Calibri"/>
          <w:b/>
          <w:bCs/>
          <w:color w:val="13151E"/>
          <w:sz w:val="21"/>
          <w:szCs w:val="21"/>
        </w:rPr>
        <w:t xml:space="preserve">Bilangan pegawai teknikal mengikut zon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gridCol w:w="1480"/>
        <w:gridCol w:w="1480"/>
        <w:gridCol w:w="1480"/>
      </w:tblGrid>
      <w:tr>
        <w:trPr>
          <w:tblHeader/>
        </w:trP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6"/>
                <w:szCs w:val="16"/>
              </w:rPr>
              <w:t xml:space="preserve">Zon VetEC</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2021</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2022</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2023</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6"/>
                <w:szCs w:val="16"/>
              </w:rPr>
              <w:t xml:space="preserve">2025</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UTARA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17</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TENGAH</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20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BARAT DAYA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SELATAN</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16</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18</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16</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TENGGARA</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9</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10</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11</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12</w:t>
            </w:r>
          </w:p>
        </w:tc>
      </w:tr>
      <w:tr>
        <w:tc>
          <w:tcPr>
            <w:tcW w:type="dxa" w:w="1900"/>
            <w:tcBorders>
              <w:top w:val="single" w:color="DDE2EC" w:sz="2"/>
              <w:left w:val="none"/>
              <w:bottom w:val="single" w:color="DDE2EC" w:sz="2"/>
              <w:right w:val="none"/>
            </w:tcBorders>
            <w:tcMar>
              <w:top w:type="dxa" w:w="60"/>
              <w:left w:type="dxa" w:w="90"/>
              <w:bottom w:type="dxa" w:w="60"/>
              <w:right w:type="dxa" w:w="90"/>
            </w:tcMar>
          </w:tcPr>
          <w:p>
            <w:pPr>
              <w:spacing w:after="0" w:line="240"/>
              <w:jc w:val="left"/>
            </w:pPr>
            <w:r>
              <w:rPr>
                <w:rFonts w:ascii="Calibri" w:cs="Calibri" w:eastAsia="Calibri" w:hAnsi="Calibri"/>
                <w:color w:val="474D61"/>
                <w:sz w:val="18"/>
                <w:szCs w:val="18"/>
              </w:rPr>
              <w:t xml:space="preserve">TIMUR LAUT</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13</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14</w:t>
            </w:r>
          </w:p>
        </w:tc>
        <w:tc>
          <w:tcPr>
            <w:tcW w:type="dxa" w:w="1480"/>
            <w:tcBorders>
              <w:top w:val="single" w:color="DDE2EC" w:sz="2"/>
              <w:left w:val="none"/>
              <w:bottom w:val="single" w:color="DDE2EC" w:sz="2"/>
              <w:right w:val="none"/>
            </w:tcBorders>
            <w:tcMar>
              <w:top w:type="dxa" w:w="60"/>
              <w:left w:type="dxa" w:w="90"/>
              <w:bottom w:type="dxa" w:w="60"/>
              <w:right w:type="dxa" w:w="90"/>
            </w:tcMar>
          </w:tcPr>
          <w:p>
            <w:pPr>
              <w:spacing w:after="0" w:line="240"/>
              <w:jc w:val="right"/>
            </w:pPr>
            <w:r>
              <w:rPr>
                <w:rFonts w:ascii="Calibri" w:cs="Calibri" w:eastAsia="Calibri" w:hAnsi="Calibri"/>
                <w:color w:val="474D61"/>
                <w:sz w:val="18"/>
                <w:szCs w:val="18"/>
              </w:rPr>
              <w:t xml:space="preserve">15</w:t>
            </w:r>
          </w:p>
        </w:tc>
      </w:tr>
      <w:tr>
        <w:tc>
          <w:tcPr>
            <w:tcW w:type="dxa" w:w="190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left"/>
            </w:pPr>
            <w:r>
              <w:rPr>
                <w:rFonts w:ascii="Calibri" w:cs="Calibri" w:eastAsia="Calibri" w:hAnsi="Calibri"/>
                <w:b/>
                <w:bCs/>
                <w:color w:val="474D61"/>
                <w:sz w:val="18"/>
                <w:szCs w:val="18"/>
              </w:rPr>
              <w:t xml:space="preserve">JUMLAH</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95</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94</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97</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97</w:t>
            </w:r>
          </w:p>
        </w:tc>
        <w:tc>
          <w:tcPr>
            <w:tcW w:type="dxa" w:w="1480"/>
            <w:tcBorders>
              <w:top w:val="single" w:color="DDE2EC" w:sz="2"/>
              <w:left w:val="none"/>
              <w:bottom w:val="single" w:color="DDE2EC" w:sz="2"/>
              <w:right w:val="none"/>
            </w:tcBorders>
            <w:shd w:fill="EEF1F7" w:color="auto" w:val="clear"/>
            <w:tcMar>
              <w:top w:type="dxa" w:w="60"/>
              <w:left w:type="dxa" w:w="90"/>
              <w:bottom w:type="dxa" w:w="60"/>
              <w:right w:type="dxa" w:w="90"/>
            </w:tcMar>
          </w:tcPr>
          <w:p>
            <w:pPr>
              <w:spacing w:after="0" w:line="240"/>
              <w:jc w:val="right"/>
            </w:pPr>
            <w:r>
              <w:rPr>
                <w:rFonts w:ascii="Calibri" w:cs="Calibri" w:eastAsia="Calibri" w:hAnsi="Calibri"/>
                <w:b/>
                <w:bCs/>
                <w:color w:val="474D61"/>
                <w:sz w:val="18"/>
                <w:szCs w:val="18"/>
              </w:rPr>
              <w:t xml:space="preserve">96</w:t>
            </w:r>
          </w:p>
        </w:tc>
      </w:tr>
    </w:tbl>
    <w:p>
      <w:pPr>
        <w:pBdr>
          <w:top w:val="single" w:color="DDE2EC" w:sz="6"/>
        </w:pBdr>
        <w:spacing w:before="300"/>
      </w:pPr>
      <w:r>
        <w:rPr>
          <w:rFonts w:ascii="Calibri" w:cs="Calibri" w:eastAsia="Calibri" w:hAnsi="Calibri"/>
          <w:color w:val="79809A"/>
          <w:sz w:val="16"/>
          <w:szCs w:val="16"/>
        </w:rPr>
        <w:t xml:space="preserve">Sumber: Laporan Log Teknikal 2021–2026, lembaran tahunan, Jabatan Perkhidmatan Veterinar. Output teknikal ialah hasil tambah sepuluh aliran perkhidmatan. Semua jumlah disahkan terhadap lembaran RUMUSAN.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9809A"/>
        <w:sz w:val="16"/>
        <w:szCs w:val="16"/>
      </w:rPr>
      <w:t xml:space="preserve">Analisis Tren VetEC 2021–2025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6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Tren VetEC 2021-2025</dc:title>
  <dc:creator>Jabatan Perkhidmatan Veterinar</dc:creator>
  <dc:description>Kajian tren setiap zon VetEC dan pengesanan tahun luar biasa</dc:description>
  <cp:lastModifiedBy>Un-named</cp:lastModifiedBy>
  <cp:revision>1</cp:revision>
  <dcterms:created xsi:type="dcterms:W3CDTF">2026-07-26T09:06:22.132Z</dcterms:created>
  <dcterms:modified xsi:type="dcterms:W3CDTF">2026-07-26T09:06:22.132Z</dcterms:modified>
</cp:coreProperties>
</file>

<file path=docProps/custom.xml><?xml version="1.0" encoding="utf-8"?>
<Properties xmlns="http://schemas.openxmlformats.org/officeDocument/2006/custom-properties" xmlns:vt="http://schemas.openxmlformats.org/officeDocument/2006/docPropsVTypes"/>
</file>