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FA63F8">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FA63F8">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w:t>
      </w:r>
      <w:r w:rsidRPr="00D9276F">
        <w:t>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00000000" w:rsidRPr="000F7FB1">
        <w:t xml:space="preserve">Whether the </w:t>
      </w:r>
      <w:r w:rsidR="00000000" w:rsidRPr="00D10CCF">
        <w:t>district</w:t>
      </w:r>
      <w:r w:rsidR="00000000"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2E069F2B" w14:textId="4F151235" w:rsidR="00FA63F8" w:rsidRDefault="00FA63F8" w:rsidP="00FA63F8">
      <w:pPr>
        <w:pStyle w:val="Heading1"/>
      </w:pPr>
      <w:r>
        <w:t>SUMMARY OF THE ARGUMENT</w:t>
      </w:r>
    </w:p>
    <w:p w14:paraId="3B8DEC34" w14:textId="77777777" w:rsidR="00FA63F8" w:rsidRDefault="00FA63F8" w:rsidP="006A45B4">
      <w:r>
        <w:t xml:space="preserve">This appeal presents a single question: Can the government stack procedural doctrines—immunity, abstention, and limitations—so high that a citizen loses </w:t>
      </w:r>
      <w:proofErr w:type="gramStart"/>
      <w:r>
        <w:t>52</w:t>
      </w:r>
      <w:proofErr w:type="gramEnd"/>
      <w:r>
        <w:t xml:space="preserve"> access to every forum, even when the record proves fraud upon the court at every level? </w:t>
      </w:r>
    </w:p>
    <w:p w14:paraId="212346AA" w14:textId="77777777" w:rsidR="00FA63F8" w:rsidRDefault="00FA63F8" w:rsidP="00FA63F8">
      <w:pPr>
        <w:pStyle w:val="Heading1"/>
      </w:pPr>
      <w:r>
        <w:t>OUTLINE OF ARGUMENT:</w:t>
      </w:r>
    </w:p>
    <w:p w14:paraId="05F234F3" w14:textId="37E60B92" w:rsidR="00FA63F8" w:rsidRDefault="00FA63F8" w:rsidP="00FA63F8">
      <w:pPr>
        <w:pStyle w:val="Heading2"/>
        <w:numPr>
          <w:ilvl w:val="0"/>
          <w:numId w:val="28"/>
        </w:numPr>
      </w:pPr>
      <w:r>
        <w:t xml:space="preserve">JURISDICTION – DAE RIM FISHERY: "TIMELY FILED" MEANS TIMELY FILED </w:t>
      </w:r>
    </w:p>
    <w:p w14:paraId="09F961B5" w14:textId="1FC09A73" w:rsidR="00FA63F8" w:rsidRDefault="00FA63F8" w:rsidP="00FA63F8">
      <w:pPr>
        <w:pStyle w:val="Heading2"/>
        <w:numPr>
          <w:ilvl w:val="0"/>
          <w:numId w:val="28"/>
        </w:numPr>
      </w:pPr>
      <w:r>
        <w:t xml:space="preserve">ECF 60 / AIU ABSTENTION – BECKERMAN'S 7 REASONS (ANDWHY EACH FAILS) </w:t>
      </w:r>
    </w:p>
    <w:p w14:paraId="50366FC0" w14:textId="1F39DDA9" w:rsidR="00573397" w:rsidRDefault="00FA63F8" w:rsidP="00FA63F8">
      <w:pPr>
        <w:pStyle w:val="Heading2"/>
        <w:numPr>
          <w:ilvl w:val="0"/>
          <w:numId w:val="0"/>
        </w:numPr>
        <w:ind w:left="90"/>
      </w:pPr>
      <w:r>
        <w:t xml:space="preserve">B. "repetitive" C. 53 AIU Presupposes a Functioning Forum – This one was a trap Consent-Then-Flip – Lewis consented Feb 12, then called it Day 181 Trap – Both doors closed the </w:t>
      </w:r>
      <w:r>
        <w:lastRenderedPageBreak/>
        <w:t xml:space="preserve">same day D. What ECF 60 Ignored – 2,000 pages of evidence E. III. A. B. C. IV. RIGHTS 54 Abstention Errors – Stay vs. Dismissal, Colorado River factors FRAUD UPON THE COURT Arrest (March 6-7, 2022) </w:t>
      </w:r>
      <w:proofErr w:type="gramStart"/>
      <w:r>
        <w:t>1</w:t>
      </w:r>
      <w:proofErr w:type="gramEnd"/>
      <w:r>
        <w:t xml:space="preserve">. 2. 3. Left Macy there causing damage Edited evidence Shown in police reports DDA / Ex Parte (June 2022) </w:t>
      </w:r>
      <w:proofErr w:type="gramStart"/>
      <w:r>
        <w:t>1</w:t>
      </w:r>
      <w:proofErr w:type="gramEnd"/>
      <w:r>
        <w:t xml:space="preserve">. 2. 3. June 10 ex parte without me (2 times) Sealed docs / deleted docs / concealed info Ex parte not invited to Attorneys (State Case 2023-2025) </w:t>
      </w:r>
      <w:proofErr w:type="gramStart"/>
      <w:r>
        <w:t>1</w:t>
      </w:r>
      <w:proofErr w:type="gramEnd"/>
      <w:r>
        <w:t xml:space="preserve">. 2. 3. Bad Notice West Linn dragging ass Eve of trial NINTH AMENDMENT – CAN'T STACK DOCTRINES TO ERASE V. RELIEF REQUESTED – VACATE, REMAND, SANCTIONS,REFERRAL The District Court dismissed this case as a "repetitive lawsuit" under AIU, giving seven reasons. Every one of them fails: </w:t>
      </w:r>
      <w:proofErr w:type="gramStart"/>
      <w:r>
        <w:t>1</w:t>
      </w:r>
      <w:proofErr w:type="gramEnd"/>
      <w:r>
        <w:t xml:space="preserve">. "Repetitive lawsuit" – The state forum was obstructed. Clackamas County was served 15 times and never appeared. Plaintiff filed a Motion to Compel on April 4, 2023; the County was dismissed seven days later. That's not a parallel forum—that's a trap. 2. "Circumvent removal statute" – Defendants CONSENTED. </w:t>
      </w:r>
      <w:proofErr w:type="spellStart"/>
      <w:r>
        <w:t>OnFebruary</w:t>
      </w:r>
      <w:proofErr w:type="spellEnd"/>
      <w:r>
        <w:t xml:space="preserve"> 12, 2025, defense counsel Dave Lewis emailed: "I have no objection to your </w:t>
      </w:r>
      <w:r>
        <w:lastRenderedPageBreak/>
        <w:t xml:space="preserve">Motion to Dismiss." You cannot consent to a dismissal then call it circumvention. 3. "No compelling reasons" – The June 10, </w:t>
      </w:r>
      <w:proofErr w:type="gramStart"/>
      <w:r>
        <w:t>2022</w:t>
      </w:r>
      <w:proofErr w:type="gramEnd"/>
      <w:r>
        <w:t xml:space="preserve"> transcript </w:t>
      </w:r>
      <w:proofErr w:type="spellStart"/>
      <w:r>
        <w:t>provescoordinated</w:t>
      </w:r>
      <w:proofErr w:type="spellEnd"/>
      <w:r>
        <w:t xml:space="preserve"> false COVID statements by the DDA and defense 55 advisor. Sixty-two legal files were deleted during lockdown. The witness told the court "We have committed no crimes." Body camera footage remains sealed. Seven days past a release order. These aren't "reasons"? 4. "Advanced stage of litigation" – WHO caused the delays? Stabler's unavailability (Aug-Sept 2023). Blyth's paternity leave (Nov 2023-Jan 2024). Lewis's pretrial motion filed the day before trial (May 20, 2024). DEFENDANTS advanced the stage. 5. "Waste of judicial resources" – Ironic. Defendants </w:t>
      </w:r>
      <w:proofErr w:type="spellStart"/>
      <w:r>
        <w:t>evadedservice</w:t>
      </w:r>
      <w:proofErr w:type="spellEnd"/>
      <w:r>
        <w:t xml:space="preserve"> for three years. The County never appeared once. The real waste is a 14 page opinion that never engaged with 2,000 pages of evidence. 6. "Prejudice to Defendants" – WHAT prejudice? The </w:t>
      </w:r>
      <w:proofErr w:type="spellStart"/>
      <w:r>
        <w:t>Countynever</w:t>
      </w:r>
      <w:proofErr w:type="spellEnd"/>
      <w:r>
        <w:t xml:space="preserve"> appeared, never filed an answer, never prepared for trial. 56 The only "prejudice" is being held accountable. 7. "Time-barred" – Concealment tolls limitations. </w:t>
      </w:r>
      <w:proofErr w:type="spellStart"/>
      <w:r>
        <w:t>Defendantscannot</w:t>
      </w:r>
      <w:proofErr w:type="spellEnd"/>
      <w:r>
        <w:t xml:space="preserve"> hide </w:t>
      </w:r>
      <w:r>
        <w:lastRenderedPageBreak/>
        <w:t xml:space="preserve">evidence (14 discovery denials, sealed body camera) then claim time ran out. The fraud flows downhill: Officer Gunnarson fabricates the arrest </w:t>
      </w:r>
      <w:r>
        <w:rPr>
          <w:rFonts w:ascii="Times New Roman" w:hAnsi="Times New Roman"/>
        </w:rPr>
        <w:t>→</w:t>
      </w:r>
      <w:r>
        <w:t xml:space="preserve"> DDA Portlock lies to the judge </w:t>
      </w:r>
      <w:r>
        <w:rPr>
          <w:rFonts w:ascii="Times New Roman" w:hAnsi="Times New Roman"/>
        </w:rPr>
        <w:t>→</w:t>
      </w:r>
      <w:r>
        <w:t xml:space="preserve"> Guard Baker deletes 62 files </w:t>
      </w:r>
      <w:r>
        <w:rPr>
          <w:rFonts w:ascii="Times New Roman" w:hAnsi="Times New Roman"/>
        </w:rPr>
        <w:t>→</w:t>
      </w:r>
      <w:r>
        <w:t xml:space="preserve"> Defense counsel Lewis consents then flips </w:t>
      </w:r>
      <w:r>
        <w:rPr>
          <w:rFonts w:ascii="Times New Roman" w:hAnsi="Times New Roman"/>
        </w:rPr>
        <w:t>→</w:t>
      </w:r>
      <w:r>
        <w:t xml:space="preserve"> Judge Beckerman ignores all of it. From badge to bench, every link chose to lie, cheat, or look away. The Ninth Amendment forbids construing procedural doctrines to "deny or disparage" the people's retained rights. When immunity shields fabricated arrests, abstention rewards forum manipulation, and limitations bar claims concealed by the wrongdoers themselves—the government has built exactly what the Framers prohibited. 57 This Court should vacate the judgment, remand to a different judge, and hold that fraud upon the court dissolves all procedural defenses. [Practice Tip: “Every assertion in the briefs regarding matters in the record, except for undisputed facts offered only for general background, shall be supported by a citation to the Excerpts of Records, unless the filer is exempt from the excerpts </w:t>
      </w:r>
      <w:r>
        <w:lastRenderedPageBreak/>
        <w:t xml:space="preserve">requirement.” See Ninth Cir. R. 28-2.8. In Social Security Appeals, the parties should cite to the certified administrative record as well as the excerpts of record. See Ninth Cir. R. 30-1.6 and 301.4(e). In immigration cases, the parties should cite to the certified administrative record and addendum containing the relevant orders. See Ninth Cir. R. 28-2.7. Citations should be in the form [volume number (if more than one)]-[ER (or SER or FER for supplemental and further excerpts of record)] [page number(s)]—for example, 2-ER-345, or ER-67 (for a single-volume ER), or 1 SER-234 (for the first volume of a multivolume SER). See Ninth Cir. R. 30-1.6. These should be specific citations to particular pages of the excerpts of record to which the Court can refer (e.g., “1-ER-234–36”), not large page ranges. Best practice is to include a specific record citation after every sentence in the Statement. Failure to adequately cite to the record may result the Court striking your brief. 58 The statement of the case is your first real opportunity to draw the reader in, explain what the case is about, and convince </w:t>
      </w:r>
      <w:r>
        <w:lastRenderedPageBreak/>
        <w:t xml:space="preserve">the reader to care about it. It should read like a story of what happened, not a minute order summarizing the proceedings below. Tell a story that is interesting, compelling, and makes the reader want to side with your client. Generally, the statement of the case should include the facts relied upon in your argument section. However, you need not </w:t>
      </w:r>
      <w:proofErr w:type="gramStart"/>
      <w:r>
        <w:t>include</w:t>
      </w:r>
      <w:proofErr w:type="gramEnd"/>
      <w:r>
        <w:t xml:space="preserve"> every detail in the statement of facts. You can elaborate further in the argument section when doing so will make it easier for the reader to digest the additional detail. 59 Don’t avoid inconvenient facts. If you leave out an important fact that seems to benefit your opponent, the judges will notice the omission, and they will start to wonder if you are omitting other relevant information as well. If the judges start doubting your credibility as they read your statement of the case, you will be in trouble by the time they get to your legal argument.] SUMMARY OF THE ARGUMENT [Insert a summary of the argument(s), which must (1) contain a succinct, clear, and accurate statement of the arguments made in the body of the </w:t>
      </w:r>
      <w:r>
        <w:lastRenderedPageBreak/>
        <w:t xml:space="preserve">brief, and (2) not merely repeat the argument headings.] [Practice Tip: To guide the reader, the summary of argument should generally follow the same organization as the Argument section. It can be effective to begin 60 each paragraph in the Summary with the Roman numeral (e.g., “II.”) of the Argument section summarized by the paragraph.] STANDARD OF REVIEW [Concisely state the applicable standard of review for each issue presented, including a citation of the relevant statute or Ninth Circuit decision setting forth the standard. In addition, if you are the party disputing a ruling on appeal, and the ruling is one to which a party must have objected at trial to preserve a right of review, e.g., a failure to admit or to exclude evidence, or the giving of or refusal to give a jury instruction, state where in the record on appeal the objection and ruling are set forth.] 61 ARGUMENT I. THE DISTRICT COURT ERRED IN DISMISSING THIS ACTION AS "REPETITIVE" BECAUSE NO ABSTENTION DOCTRINE APPLIES AND THE STATE FORUM WAS RENDERED UNAVAILABLE BY DEFENDANTS' OWN MISCONDUCT </w:t>
      </w:r>
      <w:r>
        <w:lastRenderedPageBreak/>
        <w:t xml:space="preserve">Federal courts possess a "virtually unflagging obligation" to exercise jurisdiction conferred by Congress. Colorado River Water Conservation District v. United States, 424 U.S. 800, 817 (1976). The doctrines of abstention—whether styled as AIU repetitive-lawsuit dismissal, Younger comity, or Colorado River—are "extraordinary and narrow exception[s]" to this mandate. Id. at 813. </w:t>
      </w:r>
      <w:proofErr w:type="gramStart"/>
      <w:r>
        <w:t>None</w:t>
      </w:r>
      <w:proofErr w:type="gramEnd"/>
      <w:r>
        <w:t xml:space="preserve"> applies here because the state proceedings had terminated, the state forum proved structurally inadequate, and defendants themselves induced the procedural posture they now exploit. A. No Parallel Proceedings The AIU repetitive-lawsuit doctrine and Colorado River abstention both presuppose "the contemporaneous exercise of concurrent jurisdictions." Am. Int'l Underwriters (Phil.), Inc. v. Cont'l Ins. Co., 843 F.2d 1253, 1258 (9th Cir. 1988). 62 When a parallel state case terminates, the foundation for abstention collapses. Seneca Ins. Co. v. Strange Land, Inc., 862 F.3d 835, 842–43 (9th Cir. 2017). B. The Civil Track Was Closed. The state civil-rights action, Case No. 22CV39627, was dismissed by </w:t>
      </w:r>
      <w:r>
        <w:lastRenderedPageBreak/>
        <w:t xml:space="preserve">General Judgment on March 6, 2025. ECF 35-4 at 5–6. That judgment closed the state register six months before the federal dismissal on September 3, 2025. ECF 60. A case that no longer exists cannot be "parallel," and abstention in favor of a </w:t>
      </w:r>
      <w:proofErr w:type="spellStart"/>
      <w:proofErr w:type="gramStart"/>
      <w:r>
        <w:t>non existent</w:t>
      </w:r>
      <w:proofErr w:type="spellEnd"/>
      <w:proofErr w:type="gramEnd"/>
      <w:r>
        <w:t xml:space="preserve"> proceeding is legal error. See Moses H. Cone Memorial Hospital v. Mercury Construction Corp., 460 U.S. 1, 28 (1983) (abstention improper where state litigation has concluded). C. The Criminal Track Was Closed. The criminal track likewise affords no basis for abstention. All misdemeanor charges in Case No. 22CR10908 were dismissed "in the interest of justice" on July 13, 2022—the night before the third scheduled trial. This dismissal came after Macy Galla, the State's sole witness, gave testimony for the first time under oath on June 24, 2022, in which she stated: "Yes, half of that was untrue, fabricated, and 63 manipulated.... We have committed no crimes." June 24, </w:t>
      </w:r>
      <w:proofErr w:type="gramStart"/>
      <w:r>
        <w:t>2022</w:t>
      </w:r>
      <w:proofErr w:type="gramEnd"/>
      <w:r>
        <w:t xml:space="preserve"> Tr. at 7–8, ECF 15, Ex. 2. This was not a change of heart. This was the first time Macy ever gave a statement in this case—officers had fabricated their reports from photographs delivered by </w:t>
      </w:r>
      <w:r>
        <w:lastRenderedPageBreak/>
        <w:t xml:space="preserve">Macy's daughter's boyfriend without ever taking a witness statement from Macy herself. ECF 17-1, SAC ¶¶ 29–31. When Macy finally spoke under oath, she told the truth: no crime occurred. Younger abstention presupposes an "ongoing state judicial proceeding." Middlesex County Ethics Committee v. Garden State Bar </w:t>
      </w:r>
      <w:proofErr w:type="spellStart"/>
      <w:r>
        <w:t>Ass'n</w:t>
      </w:r>
      <w:proofErr w:type="spellEnd"/>
      <w:r>
        <w:t xml:space="preserve">, 457 U.S. 423, 432 (1982). Once criminal charges terminate, Younger's rationale evaporates. Branson v. City of Los Angeles, 993 F.3d 1110, 1116 (9th Cir. 2021). Because neither </w:t>
      </w:r>
      <w:proofErr w:type="gramStart"/>
      <w:r>
        <w:t>the</w:t>
      </w:r>
      <w:proofErr w:type="gramEnd"/>
      <w:r>
        <w:t xml:space="preserve"> civil nor criminal track remained open, the District Court lacked any legitimate basis for abstention. D. The Colorado River 8 Factors Weighed Decisively Against Abstention. Even during the brief period when the state civil case remained nominally open, the six Colorado River factors ran uniformly in favor of federal retention. 1) FACTOR ONE: CONTROL OF PROPERTY. 64 a) NEITHER COURT EXERCISED JURISDICTION OVER ANY RES. 2) FACTOR TWO: INCONVENIENCE OF FORUM. a) THE FEDERAL COURTHOUSE IN PORTLAND SITS FIFTEEN MILES FROM THE CLACKAMAS COUNTY COURTHOUSE. 3) FACTOR THREE: AVOIDANCE OF PIECEMEAL LITIGATION. a) ONLY </w:t>
      </w:r>
      <w:r>
        <w:lastRenderedPageBreak/>
        <w:t xml:space="preserve">THE FEDERAL ACTION UNITES ALL DEFENDANTS—WEST LINN, OFFICERS BLYTH, AND GUNNARSON WOULD HAVE GONE TO TRIAL WITH A GHOST TO BLAME THINGS ON, b) CLACKAMAS COUNTY EVADED 13 SERVICES, THIS WOULD HAVE REWARDED THEM FOR INTENTIONAL EVASION AND LACK OF ACCOUNTABILITY… SOMETHING HISTORY SHOWS AS ROUTINE IN CLACKAMAS, c) DDA PORTLOCK ALSO WOULD HAVE BEEN SEPERATED BECAUSE PLAINTIFF DIDN’T HAVE THE FRAUD EVIDENCE AT THE TIME, AND WHO KNEW EVIDENCE WOULD STILL BE BLOCKED THROUGH DDA. d) THE STATE COURT HAD ALREADY FRAGMENTED THE LITIGATION BY DISMISSING THE COUNTY DEFENDANTS ON APRIL 11, 2023, AND MAY 11, </w:t>
      </w:r>
      <w:proofErr w:type="gramStart"/>
      <w:r>
        <w:t>2022</w:t>
      </w:r>
      <w:proofErr w:type="gramEnd"/>
      <w:r>
        <w:t xml:space="preserve"> WHILE ALLOWING THE WEST LINN DEFENDANTS TO REMAIN. ECF 35-2, 35-3. 65 e) FEDERAL ABSTENTION WOULD NOT AVOID PIECEMEAL LITIGATION; IT WOULD GUARANTEE IT. THIS FACTOR FAVORS FEDERAL RETENTION. 4) FACTOR FOUR: ORDER IN WHICH JURISDICTION WAS OBTAINED AND PROGRESS OF LITIGATION. a) DUE TO THE </w:t>
      </w:r>
      <w:proofErr w:type="gramStart"/>
      <w:r>
        <w:t>DEFENDANTS</w:t>
      </w:r>
      <w:proofErr w:type="gramEnd"/>
      <w:r>
        <w:t xml:space="preserve"> OWN ACTIONS, IN AVOIDING THE SERVICE AND HIDING BEHIND UTCR 7.020, GIVING NOTICE THAT SHOULD BE VOIDED, AND PLAINTIFFS PRO SE STATUS HE WASN’T AWARE OF </w:t>
      </w:r>
      <w:r>
        <w:lastRenderedPageBreak/>
        <w:t xml:space="preserve">THE </w:t>
      </w:r>
      <w:proofErr w:type="spellStart"/>
      <w:r>
        <w:t>THE</w:t>
      </w:r>
      <w:proofErr w:type="spellEnd"/>
      <w:r>
        <w:t xml:space="preserve"> PATH TO DEFAULT JUDGMENT. ADDITIONALLY THE NOTICE GIVEN GAVE NO NAME OR STATUTE (IT GAVE UTCR 7 AS APPOSED TO UTCR 7.020) WITH TWO JOHN DOES, HIS AOB CASE JUST ENTERING THE OREGON COURT OF APPEALS AND THEY LOST HIS APPEAL, MEANWHILE LITIGATING, AND LIVING OUT OF STATE CAUSED THE COUNTY TO ESCAPE STATE WITHOUT EVER APPEARING. BY OREGON LAW, COUNTY COULD NO SHOW, IN HOPES THAT PLAINTIFF DOESN’T FILE THE PROPER DEFAULT APPLICATION, THEY ACAN SEND NOTICE ON A LINK VIA BULK EMAIL, AND IF PLAINTIFF DOES CATCH IT, THEY CAN THEN SHOW UP WITH NO PENALTY, HOWEVER IF THEY DO NOT THEY GET TO CALL “REPETATIVE“ PREJUDICE AGAINST A PLAINTIFF WHO NOW HAS TO START OVER TO AND SERVE YOU FOR ANOTHER DOZEN TIMES? FOR THEIR INTENTIONAL OBSTRUCTION? DOES THIS EVEN NEED TO BE ARGUED? (THE STATE COURT REGISTER SHOWS THAT CLACKAMAS COUNTY WAS SERVED APPROXIMATELY FIFTEEN TIMES BUT NEVER ANSWERED, NEVER MOVED, AND NEVER APPEARED. ECF 35-4. ON APRIL 4, 2023, APPELLANT FILED A MOTION TO COMPEL APPEARANCE. SEVEN DAYS LATER, ON APRIL 11, 2023, THE COURT DISMISSED THE COUNTY DEFENDANTS "FOR WANT OF </w:t>
      </w:r>
      <w:r>
        <w:lastRenderedPageBreak/>
        <w:t xml:space="preserve">PROSECUTION"—NOT FOR THE COUNTY'S FAILURE TO APPEAR, BUT FOR APPELLANT'S SUPPOSED FAILURE TO PROSECUTE. ECF 35-2, 35-3. MEANWHILE, THE FEDERAL CASE REACHED RESPONSIVE PLEADINGS FROM EVERY DEFENDANT. ECF 34, 36, 37. THIS FACTOR STRONGLY FAVORS FEDERAL RETENTION. 66 5) 5. FACTOR FIVE: ADEQUACY OF STATE FORUM. The state forum was structurally unavailable. On March 9, 2023, the court mailed a UTCR 7.020 notice stating only that Appellant had "not provided the court with proof of service for at least one defendant"—without identifying which defendant supposedly lacked proof of service. Ex. 18, Ex. 20. On May 11, 2023, the court mailed an ORS 18.078 notice of judgment that left the judgment-date and judgment-type fields entirely blank—fields the statute expressly requires be completed. Ex. 24; ORS 18.078(2). These facially defective notices could not support a valid dismissal under Mullane v. Central Hanover Bank &amp; Trust Co., 339 U.S. 306, 314 (1950), which requires notice "reasonably calculated" to inform parties of proceedings. A state forum that dismisses claims through void notices is not </w:t>
      </w:r>
      <w:r>
        <w:lastRenderedPageBreak/>
        <w:t xml:space="preserve">an adequate alternative forum. This factor strongly favors federal retention. 6) 6. FACTOR SIX: FORUM SHOPPING. Defendants—not Appellant—manipulated the forum. Defense counsel Dave Lewis emailed Appellant on February 12, 2025: "I have no objection to your Proposed Order or to your Motion to Dismiss. I agree to the waiver of costs and attorney fees in exchange for the dismissal." ECF 35-15 at 5. Relying on this written consent, 67 </w:t>
      </w:r>
      <w:proofErr w:type="gramStart"/>
      <w:r>
        <w:t>Appellant</w:t>
      </w:r>
      <w:proofErr w:type="gramEnd"/>
      <w:r>
        <w:t xml:space="preserve"> dismissed the state case on February 13, 2025. Days later, the same defendants filed federal motions to dismiss arguing that Appellant's lawsuit was "repetitive" because he had dismissed the state case. ECF 34, 36, 37. Inducing a dismissal and then weaponizing it is the quintessential "forum shopping" Colorado River condemns. This factor strongly favors federal retention. Moses H. Cone holds that abstention is proper only when the factors "heavily" favor it. 460 U.S. at 16. Here, not a single factor favors abstention. The District Court's dismissal was therefore contrary to law. 7) C. AIU'S "COMPELLING REASON" EXCEPTION APPLIES. Even where </w:t>
      </w:r>
      <w:r>
        <w:lastRenderedPageBreak/>
        <w:t xml:space="preserve">parallel proceedings exist, AIU recognizes that federal jurisdiction must be exercised when "compelling reasons" counsel against abstention. 843 F.2d at 1261. The consent-then-flip documented above constitutes precisely such a compelling reason. Defense counsel cannot induce a procedural act by giving written consent, then cite that induced </w:t>
      </w:r>
      <w:proofErr w:type="gramStart"/>
      <w:r>
        <w:t>act as</w:t>
      </w:r>
      <w:proofErr w:type="gramEnd"/>
      <w:r>
        <w:t xml:space="preserve"> evidence of litigation abuse. That is fraud upon the court under Chambers v. NASCO, Inc., 501 U.S. 32, 44 (1991), not a legitimate ground for abstention. 68 8) D. THE TIMING OF THE FEDERAL DISMISSAL CONFIRMS TACTICAL ABUSE. The state case was dismissed without prejudice on March 6, 2025. Under ORS 12.220, Oregon's savings statute, Appellant had 180 days—until September 2, 2025—to refile in state court. The federal dismissal issued on September 3, 2025— Day 181. ECF 60. This was not coincidence. The Opinion was held until the very day the state-court door closed, ensuring that Appellant could not return to any forum. Abstention doctrines exist to promote efficiency and comity, not to spring limitations traps. "Abstention cannot be used by a federal court as a </w:t>
      </w:r>
      <w:r>
        <w:lastRenderedPageBreak/>
        <w:t xml:space="preserve">means of terminating a plaintiff's right to a federal forum on the merits of his claim." Moses H. Cone, 460 U.S. at 28. When a court times its ruling to synchronize with a limitations bar, it converts abstention from a prudential tool into a weapon. That conversion is structural error requiring reversal. 9) E. DISMISSAL RATHER THAN STAY WAS INDEPENDENT STRUCTURAL ERROR. Colorado River abstention, even when proper, authorizes only a stay—not a dismissal. Attwood v. Mendocino County Resource Conservation District, 886 F.2d 241, 243 n.1 (9th Cir. 1989). A stay preserves the federal forum should the state case falter. 69 Dismissal extinguishes it. By dismissing rather than staying, the District Court foreclosed any possibility of federal review and violated the "virtually unflagging obligation" to exercise jurisdiction. Colorado River, 424 U.S. at 817. 10) 11) II. FRAUD ON THE COURT BY DEFENDANTS AND THEIR COUNSEL VOIDS THE UNDERLYING PROCEEDINGS AND STRIPS ALL IMMUNITY DEFENSES "Fraud upon the court" is "that species of fraud which does, or attempts to, defile </w:t>
      </w:r>
      <w:r>
        <w:lastRenderedPageBreak/>
        <w:t xml:space="preserve">the court itself, or is a fraud perpetrated by officers of the court so that the judicial machinery cannot perform in the usual manner its impartial task of adjudging cases." Hazel-Atlas Glass Co. v. Hartford-Empire Co., 322 U.S. 238, 246 (1944). The Supreme Court has identified four elements: (1) an intentional falsehood; (2) uttered by an officer of the court; (3) directed at the court itself; (4) that in fact influenced a judicial decision. Id. All four elements are satisfied multiple times on this record. 12)A. THE COORDINATED COVID FABRICATION CANCELED A JURY TRIAL. 70 On June 9, 2022, defense advisor Rubin Medina—an officer of the court assigned to represent Appellant—telephoned Judge Steele outside Appellant's presence and reported that Appellant "had tested positive for COVID the last two days." June 10, </w:t>
      </w:r>
      <w:proofErr w:type="gramStart"/>
      <w:r>
        <w:t>2022</w:t>
      </w:r>
      <w:proofErr w:type="gramEnd"/>
      <w:r>
        <w:t xml:space="preserve"> Tr. at 3–4, ECF 15, Ex. 1. Medina knew this was false. He had visited Appellant in the jail's general population the day before and saw that Appellant was cleared from quarantine and ready for trial. The next day, June 10, 2022, DDA Rebecca Portlock repeated the identical lie in open court: "He tested </w:t>
      </w:r>
      <w:r>
        <w:lastRenderedPageBreak/>
        <w:t xml:space="preserve">positive for COVID... yesterday." Id. Judge Steele responded: "Because of the information we received from you yesterday... I called the jury off." Id. at 6–8. Judge Steele then corrected the record: "It turns out he didn't. He didn't test positive yesterday.... It turns out that he tested positive on May 29th [twelve days earlier] and... he got out of quarantine... and was put into the general population." Id. But the correction came too late. The jury had already been dismissed. The trial was postponed. Appellant—who had walked into the courtroom ready to proceed—was removed before the judge even arrived after DDA Portlock ordered: "Get him out of here before the judge sees him!" ECF 17-1, SAC ¶ 47. 71 The elements of fraud on the court are unmistakable. The falsehood was intentional: Medina knew Appellant was cleared because he had personally visited him in general population the day before. Both speakers were officers of the court: Medina as defense advisor, Portlock as prosecutor. The deception was directed at the court: Judge Steele explicitly relied on "the information we received from </w:t>
      </w:r>
      <w:r>
        <w:lastRenderedPageBreak/>
        <w:t xml:space="preserve">you yesterday" to cancel the jury. And the fraud influenced the outcome: a scheduled jury trial was vacated based on statements the court acknowledged were false. 13) B. THE DELETION OF SIXTY-TWO LEGAL FILES WAS DELIBERATE SPOLIATION. At exactly 5:10 p.m. on June 20, 2022—during mandatory dinner lockdown when all inmates were confined to cells—jail guard Baker accessed the law library computer system and deleted sixty-two of Appellant's legal files. ECF 8, Ex. 6. The jail's own computer logs recorded the timestamp, the user ID, and the action: "DELETE (62 items)." Id. Those files contained motions, witness lists, evidence summaries, and research materials prepared for both the criminal defense and the AOB civil trial. 72 </w:t>
      </w:r>
      <w:proofErr w:type="gramStart"/>
      <w:r>
        <w:t>Appellant</w:t>
      </w:r>
      <w:proofErr w:type="gramEnd"/>
      <w:r>
        <w:t xml:space="preserve"> filed a grievance. The jail's response: "</w:t>
      </w:r>
      <w:proofErr w:type="spellStart"/>
      <w:r>
        <w:t>Unsustained</w:t>
      </w:r>
      <w:proofErr w:type="spellEnd"/>
      <w:r>
        <w:t xml:space="preserve">. Insufficient evidence"—this despite computer logs proving exactly what happened, when, and by whom. Id. Deliberate destruction of an adversary's litigation files during live proceedings constitutes fraud on the court. See Chambers, 501 U.S. at 44 (courts possess inherent power to address "conduct </w:t>
      </w:r>
      <w:r>
        <w:lastRenderedPageBreak/>
        <w:t xml:space="preserve">which abuses the judicial process"). Spoliation deprives the tribunal of evidence essential to its truth-finding function and is per se intentional deception aimed at the court. 14) C. THE SEVEN-DAY DEFIANCE OF A RELEASE ORDER WAS ADMINISTRATIVE FRAUD. On July 1, 2022, Judge signed a release order. ECF 8 ¶¶ 81–82. The jail received </w:t>
      </w:r>
      <w:proofErr w:type="gramStart"/>
      <w:r>
        <w:t>it</w:t>
      </w:r>
      <w:proofErr w:type="gramEnd"/>
      <w:r>
        <w:t xml:space="preserve"> but refused to comply for seven days, recording only "awaiting DA clearance"—a requirement that does not exist in law. Id.; Ex. 12. Appellant remained in custody until July 8, 2022, in direct violation of a judicial mandate. A jailer's conscious refusal to obey a court order, combined with a fabricated excuse, constitutes fraud directed at the court's authority. It falsely represents to 73 the judiciary that its mandate has been </w:t>
      </w:r>
      <w:proofErr w:type="gramStart"/>
      <w:r>
        <w:t>carried out</w:t>
      </w:r>
      <w:proofErr w:type="gramEnd"/>
      <w:r>
        <w:t xml:space="preserve"> while the prisoner continues to be held. Those seven additional days compounded the constitutional injury. 15) D. THE SYNCHRONIZED FABRICATION OF ARREST REPORTS DECEIVED THE ARRAIGNMENT JUDGE. Officers Blyth and Gunnarson submitted initial arrest reports on March 6, 2022. A supervisor rejected those reports—they did not </w:t>
      </w:r>
      <w:r>
        <w:lastRenderedPageBreak/>
        <w:t xml:space="preserve">establish the elements of harassment. At 7:00 a.m. on March 7, 2022, before Appellant's arraignment, the officers met and revised their reports. The revised versions were submitted within fifteen minutes of each other. ECF 17-1, SAC ¶¶ 29–31; ECF 15, Ex. 23. The edited reports omitted critical facts: the gasoline Macy had purchased, the seven broken windows she had smashed, the three days of 911 calls in which Appellant was the complainant, and the arson and death threats Macy had texted. ECF 8 ¶¶ 37–44. The narrative transformed water sprayed "into" windows and "onto" Appellant's property into water sprayed "at" windows—as though Macy were merely gardening. Filing a doctored narrative to justify a warrantless arrest is an intentional misrepresentation whose purpose is to deceive the arraignment court into finding 74 probable </w:t>
      </w:r>
      <w:proofErr w:type="gramStart"/>
      <w:r>
        <w:t>cause</w:t>
      </w:r>
      <w:proofErr w:type="gramEnd"/>
      <w:r>
        <w:t>. See Devereaux v. Abbey, 263 F.3d 1070, 1076 (9th Cir. 2001) (</w:t>
      </w:r>
      <w:proofErr w:type="spellStart"/>
      <w:r>
        <w:t>en</w:t>
      </w:r>
      <w:proofErr w:type="spellEnd"/>
      <w:r>
        <w:t xml:space="preserve"> banc) (officers who "deliberately or recklessly" omit material exculpatory information destroy probable cause). 16) E. DEFENSE COUNSEL'S CONSENT-THEN-FLIP EXTENDED THE FRAUD TO THE FEDERAL FORUM. On </w:t>
      </w:r>
      <w:r>
        <w:lastRenderedPageBreak/>
        <w:t xml:space="preserve">February 12, 2025, West Linn counsel Dave Lewis emailed: "I have no objection to your Proposed Order or to your Motion to Dismiss. I agree to the waiver of costs and attorney fees in exchange for the dismissal." ECF 35-15 at 5. Appellant relied on this consent and dismissed the state case. One month later, Lewis and </w:t>
      </w:r>
      <w:proofErr w:type="spellStart"/>
      <w:r>
        <w:t>co defendants</w:t>
      </w:r>
      <w:proofErr w:type="spellEnd"/>
      <w:r>
        <w:t xml:space="preserve"> filed motions arguing the federal case was a barred "repetitive lawsuit" because Appellant had dismissed the state case. ECF 34, 36, 37. Inducing an adversary to take a procedural step by consent, then weaponizing that step against him, is litigation fraud. Model Rule of Professional Conduct 3.3; Chambers, 501 U.S. at 44–46. When officers of the court invite the judiciary to rely on an induced procedural act, they perpetrate fraud upon the court itself. 75 17) F. LEGAL CONSEQUENCES OF FRAUD ON THE COURT. 18) THE LEGAL CONSEQUENCES OF PROVEN FRAUD UPON THE COURT ARE CATEGORICAL. 19)1. JUDGMENTS OBTAINED BY FRAUD ARE VOID. A judgment obtained by fraud is void, not merely voidable. Hazel-Atlas, 322 U.S. at 246. The judgment here rests on proceedings tainted at every level—the </w:t>
      </w:r>
      <w:r>
        <w:lastRenderedPageBreak/>
        <w:t xml:space="preserve">arrest, the arraignment, the trial cancellation, the detention, the state dismissal, and the federal dismissal. 20) 2. IMMUNITIES DISSOLVE WHERE OFFICIALS FABRICATE EVIDENCE OR MISLEAD THE COURT. Buckley v. Fitzsimmons, 509 U.S. 259, 274–76 (1993). Prosecutorial immunity protects advocacy; it does not protect administrative acts such as coordinating false COVID information to manipulate the calendar. Qualified immunity protects reasonable mistakes; it does not protect deliberate report fabrication. 21)3. STATUTES OF LIMITATION ARE TOLLED. 76 A wrongdoer "is not permitted to profit from his own wrong." Appling v. State Farm Mutual Automobile Insurance Co., 340 F.3d 769, 777 (9th Cir. 2003). Defendants cannot invoke time-bars when their own concealment prevented Appellant from discovering the fraud until he obtained the June 10, </w:t>
      </w:r>
      <w:proofErr w:type="gramStart"/>
      <w:r>
        <w:t>2022</w:t>
      </w:r>
      <w:proofErr w:type="gramEnd"/>
      <w:r>
        <w:t xml:space="preserve"> transcript on April 19, 2024. 22) 4. TERMINATING SANCTIONS ARE REQUIRED WHERE LESSER SANCTIONS CANNOT CORRECT THE PREJUDICE. Anheuser-Busch, Inc. v. Natural Beverage Distributors, 69 F.3d 337, 348 (9th Cir. 1995). The deleted files cannot be recovered. The </w:t>
      </w:r>
      <w:r>
        <w:lastRenderedPageBreak/>
        <w:t xml:space="preserve">missed AOB trial cannot be re-run. The 129 days of custody cannot be returned. The body-camera footage remains sealed. As Goodyear Atomic Corp. v. Miller, 486 U.S. 174, 184–85 (1988), teaches, once the harm has occurred, everything that flows from that harm is tainted. </w:t>
      </w:r>
      <w:proofErr w:type="gramStart"/>
      <w:r>
        <w:t>The evidence</w:t>
      </w:r>
      <w:proofErr w:type="gramEnd"/>
      <w:r>
        <w:t xml:space="preserve"> is gone. The DHS seal remains in place. Appellant was made homeless. There is no reconstructing five years of hundreds of court documents. Terminating sanctions are the only proportionate remedy. 23) 77 24) III. THE NINTH AMENDMENT PROHIBITS THE GOVERNMENT FROM CONSTRUCTING PROCEDURAL DOCTRINES THAT DESTROY THE PEOPLE'S GUARANTEED RIGHTS The Ninth Amendment provides: "The enumeration in the </w:t>
      </w:r>
      <w:proofErr w:type="gramStart"/>
      <w:r>
        <w:t>Constitution,</w:t>
      </w:r>
      <w:proofErr w:type="gramEnd"/>
      <w:r>
        <w:t xml:space="preserve"> of certain rights, shall not be construed to deny or disparage others retained by the people." U.S. Const. amend. IX. Every word of this provision carries precise meaning. Understanding those meanings reveals that defendants have committed the precise constitutional violation the Framers sought to prevent. 25) A. THE ETYMOLOGY OF "DISPARAGE" REVEALS THE AMENDMENT'S CORE </w:t>
      </w:r>
      <w:r>
        <w:lastRenderedPageBreak/>
        <w:t xml:space="preserve">COMMAND. E. 1. The French Origin: Marriage Beneath One's Station. The word "disparage" derives from the Old French </w:t>
      </w:r>
      <w:proofErr w:type="spellStart"/>
      <w:r>
        <w:t>desparager</w:t>
      </w:r>
      <w:proofErr w:type="spellEnd"/>
      <w:r>
        <w:t xml:space="preserve">, a compound of des- (expressing negation or reversal) and parage (equality of rank, lineage, or station). Johnson's Dictionary (1755) defined "to disparage" as "to match unequally; to injure by union with something inferior; to treat with contempt." The Oxford English Dictionary (2d ed.) traces the term to feudal marriage law, where </w:t>
      </w:r>
      <w:proofErr w:type="spellStart"/>
      <w:r>
        <w:t>desparager</w:t>
      </w:r>
      <w:proofErr w:type="spellEnd"/>
      <w:r>
        <w:t xml:space="preserve"> meant "to marry to one of inferior rank"—an act that degraded the higher-born spouse by forcing association with someone beneath their station. 78 F. 2. Application to Rights: Degradation by Rank. When applied to constitutional rights, "disparage" means to degrade those rights by subordinating them to something of inferior rank—such as a procedural convenience, an immunity doctrine, or an abstention rule. The Ninth Amendment forbids "construing" the constitutional structure in any way that places the people's guaranteed rights beneath procedural mechanisms designed to serve administrative </w:t>
      </w:r>
      <w:r>
        <w:lastRenderedPageBreak/>
        <w:t xml:space="preserve">efficiency. 26) B. THE INFLUENCE OF FRENCH AND ENGLISH LEGAL THOUGHT AT THE FOUNDING REQUIRES THIS INTERPRETATION. The Framers drafted the Bill of Rights in 1789, immediately after ratification of the Constitution. Their legal vocabulary drew heavily from English common law and French jurisprudential concepts. The term "disparage" was not chosen casually—it carried centuries of meaning in both legal traditions concerning the improper subordination of persons or rights to inferior positions. Moreover, the Bill of Rights emerged precisely because local governments and newly empowered officials were already attempting to assert authority over the people's fundamental liberties. Madison's speech of June 8, 1789, warned against 79 "violent mis-construction" that would "lessen the latitude of future rights." The Ninth Amendment was inserted as a structural safeguard against precisely what has occurred here: the accumulation of procedural doctrines—immunity, abstention, limitations—stacked upon one another to crush substantive rights. 27) C. THE </w:t>
      </w:r>
      <w:r>
        <w:lastRenderedPageBreak/>
        <w:t xml:space="preserve">WORD "ENUMERATION" IS THE KEY TO THE AMENDMENT'S MEANING. 28) 1. "ENUMERATION" IS PRESENT TENSE: THE ACT OF LISTING IN RANK ORDER. The Amendment does not say "the enumerated rights" (past tense, already written down). It </w:t>
      </w:r>
      <w:proofErr w:type="gramStart"/>
      <w:r>
        <w:t>says</w:t>
      </w:r>
      <w:proofErr w:type="gramEnd"/>
      <w:r>
        <w:t xml:space="preserve"> "the enumeration... of certain rights"—using the present tense gerund form with the suffix "-</w:t>
      </w:r>
      <w:proofErr w:type="spellStart"/>
      <w:r>
        <w:t>tion</w:t>
      </w:r>
      <w:proofErr w:type="spellEnd"/>
      <w:r>
        <w:t xml:space="preserve">" indicating ongoing action. "Enumeration" means the act of listing, ranking, or ordering. This is something only the government does—the people do not enumerate constitutional provisions; the government constructs and applies them. 29) 2. THE AMENDMENT THEREFORE ADDRESSES GOVERNMENT ACTION. The subject of the Amendment is governmental construction. It prohibits the government from engaging in the act of ranking or listing constitutional provisions 80 in a way that subordinates the people's rights. When the government stacks qualified immunity atop absolute immunity atop AIU abstention atop statute-of limitations bars—all to defeat one citizen's claims—the government is "enumerating" procedural doctrines in a manner that </w:t>
      </w:r>
      <w:r>
        <w:lastRenderedPageBreak/>
        <w:t>"disparages" the people's retained rights. 30) D. THE MEANING OF "CERTAIN RIGHTS": SPECIFIC, IDENTIFIABLE, AND GUARANTEED. The word "certain" in eighteenth-century usage meant "specific, fixed, identifiable, and guaranteed." See Johnson's Dictionary (1755) ("certain: sure; undoubted; unquestionable</w:t>
      </w:r>
      <w:proofErr w:type="gramStart"/>
      <w:r>
        <w:t>; that</w:t>
      </w:r>
      <w:proofErr w:type="gramEnd"/>
      <w:r>
        <w:t xml:space="preserve"> which is past doubt"). The Amendment thus addresses specific, identifiable, guaranteed rights—not </w:t>
      </w:r>
      <w:proofErr w:type="gramStart"/>
      <w:r>
        <w:t>some</w:t>
      </w:r>
      <w:proofErr w:type="gramEnd"/>
      <w:r>
        <w:t xml:space="preserve"> hypothetical category of unstated rights. 31) APPELLANT'S RIGHTS ARE SPECIFIC AND GUARANTEED: 32) (A) FIRST AMENDMENT: THE RIGHT TO PETITION THE GOVERNMENT FOR REDRESS OF GRIEVANCES. 81 33) (B) FOURTH AMENDMENT: THE RIGHT TO BE FREE FROM ARREST WITHOUT PROBABLE CAUSE. 34) (C) FIFTH AMENDMENT: THE RIGHT TO DUE PROCESS BEFORE THE FEDERAL GOVERNMENT. 35) (D) SIXTH AMENDMENT: THE RIGHT TO EFFECTIVE ASSISTANCE OF COUNSEL AND ACCESS TO COURTS. 36) (E) SEVENTH AMENDMENT: THE RIGHT TO A CIVIL JURY TRIAL. 37) (F) NINTH AMENDMENT: THE RIGHT TO HAVE THE FOREGOING RIGHTS REMAIN UNDIMINISHED. 38) (G) FOURTEENTH AMENDMENT: THE RIGHT TO DUE PROCESS BEFORE STATE </w:t>
      </w:r>
      <w:r>
        <w:lastRenderedPageBreak/>
        <w:t xml:space="preserve">GOVERNMENTS. Every one of these guaranteed rights was violated. The question is not whether Appellant possesses rights—he does, and they are enumerated. The question is whether the government may construct procedural barriers that extinguish those rights. 39) E. RIGHTS CANNOT BE DIMINISHED: THE INDIVISIBILITY PRINCIPLE. 82 40) 1. A RIGHT IS WHOLE OR IT IS NOTHING. A constitutional right is not divisible. One cannot possess "half" a right to due process, or "sort of" a right to a jury trial. Consider property rights by analogy: if two siblings inherit a house, each possesses a complete right to their half—not half of a right to the whole house. Each sibling's right is complete unto itself. If one sibling purchases the other's interest, the buyer does not obtain "more" of a right—the buyer simply now possesses the other sibling's complete right to that portion. 41) 2. CONSTITUTIONAL RIGHTS WORK THE SAME WAY. A constitutional right is either protected or it is not. Defendants cannot invoke immunity for the arrest while claiming abstention bars the detention claim while arguing limitations defeats the prosecution </w:t>
      </w:r>
      <w:r>
        <w:lastRenderedPageBreak/>
        <w:t xml:space="preserve">claim—as though each doctrine shaves away a portion of Appellant's rights until nothing remains. The rights are whole. The doctrines cannot be accumulated to make them disappear. 42) F. THE RELATIONSHIP BETWEEN RIGHTS AND DUTIES. 43) 1. EVERY RIGHT HAS A CORRESPONDING DUTY. 83 Constitutional rights do not exist in isolation. For every right possessed by the people, there exists a corresponding duty on the part of the government to ensure that right is protected. The Fourth Amendment right to be free from unreasonable seizure creates a duty upon law enforcement to establish probable cause before arrest. The Sixth Amendment right to effective counsel creates a duty upon the court to ensure appointed counsel does not sabotage the defense. The Fourteenth Amendment right to due process creates a duty upon the state to follow its own procedures. 44) 2. THE FEDERAL GOVERNMENT ENFORCES WHEN THE STATE FAILS. When state actors breach their duties, federal law provides the remedy. 42 U.S.C. § 1983 exists precisely because "state remedies [may be] inadequate." Monroe v. Pape, 365 </w:t>
      </w:r>
      <w:r>
        <w:lastRenderedPageBreak/>
        <w:t xml:space="preserve">U.S. 167, 174 (1961). A constitutional violation is simultaneously a federal law violation. The state has a duty to prevent such violations. When the state fails— or worse, when state actors themselves commit the violations—federal jurisdiction exists to enforce the duty the state has shirked. 84 45) 3. CONSTITUTIONAL VIOLATIONS CANNOT BE SHIELDED BY PROCEDURE. The moment a constitutional right is violated, a federal law has been broken. Immunity cannot retroactively un-break that law. Consider the sequence: 46) (A) THE STATE HAS A DUTY TO RESPECT CONSTITUTIONAL RIGHTS. 47) (B) STATE ACTORS BREACH THAT DUTY—BY FABRICATING ARREST REPORTS, BY LYING TO CANCEL TRIALS, BY DELETING LEGAL FILES, BY IGNORING RELEASE ORDERS. 48) (C) FEDERAL LAW IS VIOLATED AT THE MOMENT OF BREACH—NOT AT THE MOMENT OF LAWSUIT, NOT AT THE MOMENT OF JUDGMENT, BUT AT THE MOMENT OF THE UNCONSTITUTIONAL ACT. 49) (D) IMMUNITY DOCTRINES CANNOT RETROACTIVELY ERASE A BREACH THAT HAS ALREADY OCCURRED. The DDA cannot claim immunity for lying about COVID status because the moment she uttered the </w:t>
      </w:r>
      <w:proofErr w:type="gramStart"/>
      <w:r>
        <w:lastRenderedPageBreak/>
        <w:t>lie,</w:t>
      </w:r>
      <w:proofErr w:type="gramEnd"/>
      <w:r>
        <w:t xml:space="preserve"> she breached her duty to the court. The officers cannot claim immunity for fabricating reports because the moment they omitted </w:t>
      </w:r>
      <w:proofErr w:type="gramStart"/>
      <w:r>
        <w:t>the broken</w:t>
      </w:r>
      <w:proofErr w:type="gramEnd"/>
      <w:r>
        <w:t xml:space="preserve"> windows and arson </w:t>
      </w:r>
      <w:proofErr w:type="gramStart"/>
      <w:r>
        <w:t>threats,</w:t>
      </w:r>
      <w:proofErr w:type="gramEnd"/>
      <w:r>
        <w:t xml:space="preserve"> they breached their duty to establish truthful probable cause. The jail cannot claim immunity for ignoring the release order 85 because the moment it refused to comply, it breached its duty to obey judicial mandates. 50) G. THE AMENDMENT PROHIBITS CONSTRUCTING PROCEDURAL DOCTRINES TO EVADE ACCOUNTABILITY. 51) 1. "SHALL NOT BE CONSTRUED" ADDRESSES INTERPRETATION. The operative command is "shall not be construed." This is an interpretive directive to courts. It prohibits courts from interpreting or applying constitutional provisions and procedural rules in a manner that destroys the people's rights. When defendants pile immunity upon abstention upon limitations upon forum manipulation—and when courts accept that pile as a valid defense—the courts have "construed" those doctrines to "deny and disparage" the rights Appellant retains. 52) 2. DEFENDANTS CANNOT BUILD THEIR PROCEDURAL DEFENSES UPON THEIR OWN </w:t>
      </w:r>
      <w:r>
        <w:lastRenderedPageBreak/>
        <w:t xml:space="preserve">WRONGDOING. 53) WHAT DEFENDANTS ASK THIS COURT TO SANCTION IS A SYSTEM WHERE GOVERNMENT ACTORS MAY: 86 54) (A) FABRICATE AN ARREST AND REMOVE A CITIZEN FROM HIS PROPERTY. 55) (B) LIE TO CANCEL JURY TRIALS. 56) (C) DELETE DEFENSE FILES DURING LOCKDOWN. 57) (D) IGNORE RELEASE ORDERS. 58) (E) EVADE SERVICE FOR FIFTEEN ATTEMPTS. 59) (F) ISSUE DEFECTIVE NOTICES TO TRIGGER DISMISSAL. 60) (G) CONSENT TO DISMISSAL THEN FLIP TO CALL THE LAWSUIT "REPETITIVE." 61) (H) TIME THE FEDERAL DISMISSAL FOR DAY 181 TO CLOSE EVERY FORUM. And then invoke immunity, abstention, and limitations to escape all accountability. That is not law. That is the construction of a procedural fortress designed to crush constitutional rights. The Ninth Amendment forbids it. 87 62) H. THE JUDICIARY CANNOT REMOVE THIS AMENDMENT FROM </w:t>
      </w:r>
      <w:proofErr w:type="gramStart"/>
      <w:r>
        <w:t>THE CONSTITUTIONAL</w:t>
      </w:r>
      <w:proofErr w:type="gramEnd"/>
      <w:r>
        <w:t xml:space="preserve"> STRUCTURE. 63) 1. THIS IS NOT A QUESTION FOR JUDICIAL DETERMINATION. With all due respect to this Court and every court that has considered the Ninth Amendment, the Amendment's application is not a matter of judicial discretion. The Amendment is part of the Constitution. It </w:t>
      </w:r>
      <w:r>
        <w:lastRenderedPageBreak/>
        <w:t xml:space="preserve">binds the judiciary as surely as it binds the executive and legislative branches. If any branch wishes to diminish the Ninth Amendment's force, that branch must seek a constitutional amendment through Article V—ratified by the people and the states. 64) 2. THE JUDICIARY CANNOT VOTE AWAY THE PEOPLE'S RIGHTS. No court possesses the authority to nullify a constitutional provision by interpretation. If courts could "construe" the Ninth Amendment into irrelevance— by treating it as merely hortatory, or by allowing unlimited stacking of procedural doctrines—then the judiciary would have accomplished by interpretation what only the people may accomplish by amendment. That is not the judiciary's role. The Ninth Amendment is the people's right, retained against the government. The 88 judiciary is part of the government. The judiciary cannot take from the people what the people have retained. 65) 3. THE CONSEQUENCE OF JUDICIAL ABDICATION IS CARELESS HARM. When courts refuse to enforce the Ninth Amendment—when they allow procedural manipulations to extinguish constitutional </w:t>
      </w:r>
      <w:r>
        <w:lastRenderedPageBreak/>
        <w:t xml:space="preserve">rights—they invite precisely the careless harm that occurred here. Officers feel free to fabricate because immunity will protect them. Prosecutors feel free to lie because absolute immunity will shield them. Jails feel free to ignore release orders because no one will hold them accountable. Defense counsel feels free to induce-then-flip because courts will reward the tactic. This harm would be "tamed the fuck down"—to use Appellant's phrase—if courts enforced consequences. When bad actors know their procedural fortresses will be dismantled, they stop building them. 66) I. CRIMINAL SANCTIONS PROVIDE AN ALTERNATIVE WHEN CIVIL REMEDIES ARE EVADED. 67) 1. THE CRIMINAL STATUTES HAVE LONGER LIMITATIONS PERIODS. 89 If defendants escape civil liability through procedural manipulation, they do not escape criminal accountability. 18 U.S.C. § 241 (conspiracy against rights) and 18 U.S.C. § 242 (deprivation of rights under color of law) carry limitations periods of five years—or longer where bodily injury occurs. 18 U.S.C. § 3282; 18 U.S.C. § 3281. The coordinated fabrications, the evidence </w:t>
      </w:r>
      <w:r>
        <w:lastRenderedPageBreak/>
        <w:t xml:space="preserve">destruction, the defiance of court orders documented in this record may well constitute federal crimes. Civil limitations cannot be manipulated to foreclose criminal prosecution. 68) 2. REFERRAL TO THE UNITED STATES ATTORNEY IS APPROPRIATE. This Court possesses the authority to refer matters for criminal investigation. The record before the Court documents potential violations of 18 U.S.C. § 241 (the coordinated COVID lie, the synchronized report fabrication), 18 U.S.C. § 242 (the warrantless arrest, the seven-day hold, the file deletion), and 18 U.S.C. § 1001 (false statements to the court). Whether to prosecute is the United States Attorney's decision. Whether to refer is this Court's prerogative. 69) J. APPLICATION TO THIS CASE: EVERY GUARANTEED RIGHT WAS VIOLATED, AND PROCEDURE CANNOT EXCUSE IT. 90 Appellant does not need to prove that the District Court erred. He knows the District Court erred. ECF 60 does not contain a single accurate finding on any disputed fact in this case. It adopted defendants' narrative verbatim. It ignored the June 10, </w:t>
      </w:r>
      <w:proofErr w:type="gramStart"/>
      <w:r>
        <w:t>2022</w:t>
      </w:r>
      <w:proofErr w:type="gramEnd"/>
      <w:r>
        <w:t xml:space="preserve"> transcript </w:t>
      </w:r>
      <w:r>
        <w:lastRenderedPageBreak/>
        <w:t xml:space="preserve">proving the COVID lie. It ignored the computer logs proving the file deletion. It ignored the release order proving the seven-day hold. It ignored the consent email proving the forum manipulation. 70) THE ONLY QUESTION REMAINING IS WHETHER THE NINTH AMENDMENT WILL ENFORCE THE CORRECTION. The rights are guaranteed. The duties were breached. The procedural doctrines cannot be stacked to make the breaches disappear. This Court should hold that: 71) </w:t>
      </w:r>
      <w:proofErr w:type="gramStart"/>
      <w:r>
        <w:t>1</w:t>
      </w:r>
      <w:proofErr w:type="gramEnd"/>
      <w:r>
        <w:t xml:space="preserve">. IMMUNITY DOES NOT SHIELD FRAUD. Qualified immunity fails where officers fabricate reports. Devereaux, 263 F.3d at 1076. Absolute immunity fails where prosecutors engage in administrative acts rather than advocacy. Buckley, 509 U.S. at 274–76. 91 72) 2. ABSTENTION DOES NOT APPLY WHERE DEFENDANTS CAUSED THE STATE FORUM'S FAILURE. 73) AIU AND COLORADO RIVER CANNOT REWARD THE CONSENT-THEN FLIP. CHAMBERS, 501 U.S. AT 44. 74) 3. LIMITATIONS DO NOT BAR CLAIMS WHERE DEFENDANTS' CONCEALMENT PREVENTED DISCOVERY. 75) EQUITABLE TOLLING APPLIES. APPLING, 340 F.3D AT 777. 76) 4. THE NINTH AMENDMENT COMMANDS THIS RESULT. The "enumeration" of immunity, </w:t>
      </w:r>
      <w:r>
        <w:lastRenderedPageBreak/>
        <w:t xml:space="preserve">abstention, and limitations "shall not be construed to deny or disparage" Appellant's retained rights to liberty, property, due process, jury trial, and access to courts. Any other construction rewards the very </w:t>
      </w:r>
      <w:proofErr w:type="gramStart"/>
      <w:r>
        <w:t>conduct</w:t>
      </w:r>
      <w:proofErr w:type="gramEnd"/>
      <w:r>
        <w:t xml:space="preserve"> the Constitution forbids. 77) 78) CONCLUSION AND REQUESTED RELIEF 92 Five years. Four proceedings. Zero jury trials. Sixty-two deleted files. Two ex parte communications. Seven days held past a release order. A dismissal timed for Day 181. The record before this Court documents fraud upon the court by officers, prosecutors, defense counsel, and jail officials—all directed at preventing one pro se litigant from ever having his day before a jury. The District Court's Opinion (ECF 60) adopted defendants' narrative verbatim while ignoring documented evidence of coordinated false statements, evidence destruction, defective notices, and strategic timing. The Ninth Amendment does not ask whether courts find this convenient. It commands that the "enumeration" of procedural doctrines "shall not be construed to deny or disparage" the people's retained rights. Every </w:t>
      </w:r>
      <w:r>
        <w:lastRenderedPageBreak/>
        <w:t xml:space="preserve">construction defendants urge—immunity for fabrication, abstention despite forum-manipulation, limitations despite concealment—constitutes exactly the disparagement the Amendment forbids. 79) THIS COURT SHOULD: 93 1. VACATE THE SEPTEMBER 3, </w:t>
      </w:r>
      <w:proofErr w:type="gramStart"/>
      <w:r>
        <w:t>2025</w:t>
      </w:r>
      <w:proofErr w:type="gramEnd"/>
      <w:r>
        <w:t xml:space="preserve"> JUDGMENT DISMISSING THIS ACTION. 2. REMAND TO A DIFFERENT DISTRICT JUDGE WITH INSTRUCTIONS TO EXERCISE JURISDICTION AND PROCEED TO THE MERITS. 3. STRIKE ALL IMMUNITY, ABSTENTION, AND LIMITATIONS DEFENSES PREDICATED ON THE IDENTIFIED FRAUD, OR ALTERNATIVELY ENTER TERMINATING SANCTIONS AGAINST DEFENDANTS WHO PARTICIPATED IN EVIDENCE DESTRUCTION OR MATERIAL MISREPRESENTATION. 4. ORDER IMMEDIATE PRODUCTION OF BODY-CAMERA FOOTAGE AND THE COMPLETE JAIL COMPUTER AUDIT TRAIL. 5. REFER THE MATTER TO THE UNITED STATES ATTORNEY FOR INVESTIGATION OF POTENTIAL VIOLATIONS OF 18 U.S.C. §§ 241, 242, AND 1001. 80) ANYTHING LESS WOULD RATIFY THE VERY DISPARAGEMENT THE NINTH AMENDMENT WAS WRITTEN TO PREVENT. 81) RESPECTFULLY SUBMITTED, 82) /S/ TYLER ALLEN LOFALL TYLER ALLEN LOFALL PLAINTIFF-APPELLANT, PRO SE DECEMBER 3, 202 94 </w:t>
      </w:r>
      <w:r>
        <w:lastRenderedPageBreak/>
        <w:t xml:space="preserve">83) ] [There are </w:t>
      </w:r>
      <w:proofErr w:type="gramStart"/>
      <w:r>
        <w:t>several</w:t>
      </w:r>
      <w:proofErr w:type="gramEnd"/>
      <w:r>
        <w:t xml:space="preserve"> acceptable ways to use capitalization in your argument headings. </w:t>
      </w:r>
      <w:proofErr w:type="gramStart"/>
      <w:r>
        <w:t>Some</w:t>
      </w:r>
      <w:proofErr w:type="gramEnd"/>
      <w:r>
        <w:t xml:space="preserve"> attorneys prefer to use sentence case (capitalizing only the first letter of the first word, as above) for all headings because it tends to be easiest to read. Other attorneys prefer to use all uppercase for major headings, title case (capitalizing the first letter of every word) for subheadings, and sentence case for the remaining headings. The choice is yours.] [Insert your first argument: this must include an identification of your contentions and the reasons for them, with citations to the authorities and parts of the record on which the appellant relies] [Practice Tip: Begin the argument section of your brief with your strongest argument. Omit implausible or weak arguments. Be straightforward about the case’s strengths and weaknesses and address weaknesses head on. If you are the appellant, don’t just argue why you are right, explain why the district court </w:t>
      </w:r>
      <w:proofErr w:type="gramStart"/>
      <w:r>
        <w:t>got it</w:t>
      </w:r>
      <w:proofErr w:type="gramEnd"/>
      <w:r>
        <w:t xml:space="preserve"> wrong. Address case or statutory authority relied on by the lower </w:t>
      </w:r>
      <w:r>
        <w:lastRenderedPageBreak/>
        <w:t xml:space="preserve">court. Don’t </w:t>
      </w:r>
      <w:proofErr w:type="gramStart"/>
      <w:r>
        <w:t>95 waste</w:t>
      </w:r>
      <w:proofErr w:type="gramEnd"/>
      <w:r>
        <w:t xml:space="preserve"> time arguing obvious or undisputed points. Don’t use boilerplate, especially regarding well-established standards, but if there is a controlling standard, include it.] [Practice Tip: There are two acceptable ways to address the standard of review. See FRAP 28(a)(8)(B). You can include a standalone “Standard of Review” section before your “Argument” section, as illustrated above. See FRAP 28(a)(8)(B). Or you can begin each major section of your argument with a subsection that addresses the standard of review for that particular issue. This option may be particularly appropriate when your brief presents </w:t>
      </w:r>
      <w:proofErr w:type="gramStart"/>
      <w:r>
        <w:t>numerous</w:t>
      </w:r>
      <w:proofErr w:type="gramEnd"/>
      <w:r>
        <w:t xml:space="preserve"> issues with different applicable standards or if the standard of review is disputed, complex, or dispositive.] [Practice Tip: The Ninth Circuit’s website includes an outline of standards of review, which can be a useful starting point for your research. http://www.ca9.uscourts.gov/content/view.php?pk_id=0000000368] 96 G. B. [Insert appropriate subheading for the </w:t>
      </w:r>
      <w:proofErr w:type="spellStart"/>
      <w:r>
        <w:t>subargument</w:t>
      </w:r>
      <w:proofErr w:type="spellEnd"/>
      <w:r>
        <w:t xml:space="preserve"> on the first issue] [Using subheadings </w:t>
      </w:r>
      <w:r>
        <w:lastRenderedPageBreak/>
        <w:t>within major arguments can help guide the reader through the progression of your argument. For clarity, try to avoid including more than three levels of subheadings (e.g., I/A/1). Two levels should generally suffice. Make your arguments here. Do not incorporate by reference briefs or pleadings filed before the district court, or before this Court in a prior appeal.] [Text] 1. [Insert appropriate subheading for the sub-</w:t>
      </w:r>
      <w:proofErr w:type="spellStart"/>
      <w:r>
        <w:t>subargument</w:t>
      </w:r>
      <w:proofErr w:type="spellEnd"/>
      <w:r>
        <w:t xml:space="preserve"> on issue #1.B.1, if this level of headings is necessary] [Text] 97 2. [Insert appropriate subheading for the sub-</w:t>
      </w:r>
      <w:proofErr w:type="spellStart"/>
      <w:r>
        <w:t>subargument</w:t>
      </w:r>
      <w:proofErr w:type="spellEnd"/>
      <w:r>
        <w:t xml:space="preserve"> on issue #1.B.2] [Text] 84) II. [INSERT APPROPRIATE HEADING FOR THE ARGUMENT ON ISSUE #2] [Insert your second argument (if applicable). </w:t>
      </w:r>
      <w:proofErr w:type="gramStart"/>
      <w:r>
        <w:t>Repeat</w:t>
      </w:r>
      <w:proofErr w:type="gramEnd"/>
      <w:r>
        <w:t xml:space="preserve"> for each additional argument.] CONCLUSION [Insert a short conclusion stating the precise relief sought from the Court, such as “For the foregoing reasons, the judgment of the district court should be reversed, and the case remanded for trial [or for an evidentiary hearing, for consideration of Plaintiff’s claims on the merits, etc.].”] 98 [Practice Tip: Generally, the conclusion should </w:t>
      </w:r>
      <w:r>
        <w:lastRenderedPageBreak/>
        <w:t xml:space="preserve">contain one sentence that tells the Court specifically what you want it to do and what directions it should give the district court.] Date: [insert date] </w:t>
      </w:r>
      <w:proofErr w:type="gramStart"/>
      <w:r>
        <w:t>99</w:t>
      </w:r>
      <w:proofErr w:type="gramEnd"/>
      <w:r>
        <w:t xml:space="preserve"> [Insert Counsel’s name or firm name] 100 /s/ [insert name of counsel filing brief] [insert name(s) of Counsel] Attorneys for Appellant [insert name of client] 101 UNITED STATES COURT OF APPEALS FOR THE NINTH CIRCUIT Form 17. Statement of Related Cases Pursuant to Circuit Rule 28-2.6 Instructions for this form: http://www.ca9.uscourts.gov/forms/form17instructions.pdf 9th Cir. Case Number(s) _____________________________________________ The undersigned attorney or self-represented party states the following: [ ] I am unaware of any related cases currently pending in this court. [ ] I am unaware of any related cases currently pending in this court other than the case(s) identified in the initial brief(s) filed by the other party or parties. [ ] I am aware of one or more related cases currently pending in this court. The case number and name of each related case and its </w:t>
      </w:r>
      <w:r>
        <w:lastRenderedPageBreak/>
        <w:t xml:space="preserve">relationship to this case are: Signature _________________________________ Date ____________________ (use “s/[typed name]” to sign electronically filed documents) [Practice Tip: Under Ninth Circuit Rule 28-2.6, each party must identify in a statement on the last page of its initial brief any known related case pending in the Ninth Circuit. Cases are deemed “related” if they: (a) arise out of the same or consolidated cases in the district court or agency; (b) raise the same or closely related issues; or (c) involve the same transaction or event. The statement should include the name and appellate docket number of the related case and describe its relationship to the case being briefed. The purpose of this rule is to alert the parties and the Court to other known cases pending in this Court that might affect how the instant case is managed or decided. This rule does not require counsel to list all known cases raising the same or closely related issues if the list would be lengthy and counsel in good faith believes that listing the cases would not assist the Court or other parties. If you don’t know of </w:t>
      </w:r>
      <w:r>
        <w:lastRenderedPageBreak/>
        <w:t xml:space="preserve">any other related cases in this Court, no statement is required. If you are the appellee, you don’t need to include any related cases identified by the appellant.] [Note: The Court updates its forms from time to time. Check the Court’s website (https://www.ca9.uscourts.gov/forms/#briefs) to be sure you’re using the most recent version of this form. UNITED STATES COURT OF APPEALS FOR THE NINTH CIRCUIT Form 8. Certificate of Compliance for Briefs Instructions for this form: http://www.ca9.uscourts.gov/forms/form08instructions.pdf 9th Cir. Case Number(s) I am the attorney or self-represented party. This brief contains _______________ words, including __________ words manually counted in any visual images, and excluding the items exempted by FRAP 32(f). The brief’s type size and typeface comply with FRAP 32(a)(5) and (6). I certify that this brief (select only one): </w:t>
      </w:r>
      <w:r>
        <w:rPr>
          <w:rFonts w:ascii="Segoe UI Symbol" w:hAnsi="Segoe UI Symbol" w:cs="Segoe UI Symbol"/>
        </w:rPr>
        <w:t>☐</w:t>
      </w:r>
      <w:r>
        <w:t xml:space="preserve"> complies with the word limit of Cir. R. 32-1. </w:t>
      </w:r>
      <w:r>
        <w:rPr>
          <w:rFonts w:ascii="Segoe UI Symbol" w:hAnsi="Segoe UI Symbol" w:cs="Segoe UI Symbol"/>
        </w:rPr>
        <w:t>☐</w:t>
      </w:r>
      <w:r>
        <w:t xml:space="preserve"> is a cross-appeal brief and complies with the word limit of Cir. R. 28.1-1. </w:t>
      </w:r>
      <w:r>
        <w:rPr>
          <w:rFonts w:ascii="Segoe UI Symbol" w:hAnsi="Segoe UI Symbol" w:cs="Segoe UI Symbol"/>
        </w:rPr>
        <w:t>☐</w:t>
      </w:r>
      <w:r>
        <w:t xml:space="preserve"> is an amicus brief and complies with the word </w:t>
      </w:r>
      <w:r>
        <w:lastRenderedPageBreak/>
        <w:t xml:space="preserve">limit of FRAP 29(a)(5), Cir. R. 29-2(c)(2), or Cir. R. 29-2(c)(3). </w:t>
      </w:r>
      <w:r>
        <w:rPr>
          <w:rFonts w:ascii="Segoe UI Symbol" w:hAnsi="Segoe UI Symbol" w:cs="Segoe UI Symbol"/>
        </w:rPr>
        <w:t>☐</w:t>
      </w:r>
      <w:r>
        <w:t xml:space="preserve"> is for a death penalty case and complies with the word limit of Cir. R. 32-4. </w:t>
      </w:r>
      <w:r>
        <w:rPr>
          <w:rFonts w:ascii="Segoe UI Symbol" w:hAnsi="Segoe UI Symbol" w:cs="Segoe UI Symbol"/>
        </w:rPr>
        <w:t>☐</w:t>
      </w:r>
      <w:r>
        <w:t xml:space="preserve"> complies with the longer length limit permitted by Cir. R. 32-2(b) because (select only one): </w:t>
      </w:r>
      <w:r>
        <w:rPr>
          <w:rFonts w:ascii="Segoe UI Symbol" w:hAnsi="Segoe UI Symbol" w:cs="Segoe UI Symbol"/>
        </w:rPr>
        <w:t>☐</w:t>
      </w:r>
      <w:r>
        <w:t xml:space="preserve"> it is a joint brief submitted by separately represented parties. </w:t>
      </w:r>
      <w:r>
        <w:rPr>
          <w:rFonts w:ascii="Segoe UI Symbol" w:hAnsi="Segoe UI Symbol" w:cs="Segoe UI Symbol"/>
        </w:rPr>
        <w:t>☐</w:t>
      </w:r>
      <w:r>
        <w:t xml:space="preserve"> a party or parties are filing a single brief in response to multiple briefs. </w:t>
      </w:r>
      <w:r>
        <w:rPr>
          <w:rFonts w:ascii="Segoe UI Symbol" w:hAnsi="Segoe UI Symbol" w:cs="Segoe UI Symbol"/>
        </w:rPr>
        <w:t>☐</w:t>
      </w:r>
      <w:r>
        <w:t xml:space="preserve"> a party or parties are filing a single brief in response to a longer joint brief. </w:t>
      </w:r>
      <w:r>
        <w:rPr>
          <w:rFonts w:ascii="Segoe UI Symbol" w:hAnsi="Segoe UI Symbol" w:cs="Segoe UI Symbol"/>
        </w:rPr>
        <w:t>☐</w:t>
      </w:r>
      <w:r>
        <w:t xml:space="preserve"> complies with the length limit designated by court order dated . </w:t>
      </w:r>
      <w:r>
        <w:rPr>
          <w:rFonts w:ascii="Segoe UI Symbol" w:hAnsi="Segoe UI Symbol" w:cs="Segoe UI Symbol"/>
        </w:rPr>
        <w:t>☐</w:t>
      </w:r>
      <w:r>
        <w:t xml:space="preserve"> is accompanied by a motion to file a longer brief pursuant to Cir. R. 32-2(a). Signature Date (use “s/[typed name]” to sign </w:t>
      </w:r>
      <w:proofErr w:type="gramStart"/>
      <w:r>
        <w:t>electronically-filed</w:t>
      </w:r>
      <w:proofErr w:type="gramEnd"/>
      <w:r>
        <w:t xml:space="preserve"> documents) Feedback or questions about this form? Email us at forms@ca9.uscourts.gov Form 8 Rev. 12/01/22 [Practice Tip: Certain types of briefs, such as cross-appeal, death penalty, or amicus briefs may have different word limits. Be sure to check the applicable rules (Ninth Cir. R. 32-1 to 32-4 (standard briefs and death penalty appeals); FRAP 29(a)(4) (amicus briefs); Ninth Cir. R. 28.1-1 (cross appeals)).] </w:t>
      </w:r>
      <w:r>
        <w:lastRenderedPageBreak/>
        <w:t xml:space="preserve">[Note: The Court updates its forms from time to time. Check the Court’s website (https://www.ca9.uscourts.gov/forms/#briefs) to be sure you’re using the most recent version of this form.] CERTIFICATE OF SERVICE [Note: Refer to Ninth Circuit Rule 25-5 for information about electronic filing and whether a certificate of service is required.] Most filings submitted through the Appellate Electronic Filing System that are served electronically do not require a certificate of service. See Ninth Circuit Rule 25-5(f)(1). For a brief being filed electronically but served on </w:t>
      </w:r>
      <w:proofErr w:type="gramStart"/>
      <w:r>
        <w:t>some</w:t>
      </w:r>
      <w:proofErr w:type="gramEnd"/>
      <w:r>
        <w:t xml:space="preserve"> parties not through the electronic filing system, a certificate of service is required. Use Form 15 or an equivalent statement: See https://www.ca9.uscourts.gov/forms/form15.docx (Word version) and https://www.ca9.uscourts.gov/forms/form15.pdf (PDF version). Filings that are not submitted through the Appellate Electronic System must be accompanied by Form 25 or an equivalent statement. </w:t>
      </w:r>
      <w:r>
        <w:lastRenderedPageBreak/>
        <w:t xml:space="preserve">https://www.ca9.uscourts.gov/forms/form25.docx (Word version) https://cdn.ca9.uscourts.gov/datastore/uploads/forms/form25.pdf (PDF version). See and Original proceedings, petitions for review, sealed filings, and any electronically submitted filing in a case involving a pro se litigant or attorney not registered for CM/ECF must be accompanied by Form 15 or an equivalent statement. See https://www.ca9.uscourts.gov/forms/form15.docx (Word https://www.ca9.uscourts.gov/forms/form15.pdf (PDF version).] version) and ADDENDUM [Note / Practice Tip: Under Ninth Circuit Rule 28-2.7, pertinent constitutional provisions, treaties, statutes, ordinances, regulations or rules must be set forth verbatim and with appropriate citation either (1) following the statement of issues presented for review or (2) in an addendum introduced by a table of contents and bound with the brief or separately; in the latter case, a statement must appear referencing the addendum after the statement of issues. If this material is included in an addendum bound with </w:t>
      </w:r>
      <w:r>
        <w:lastRenderedPageBreak/>
        <w:t>the brief, the addendum must be separated from the body of the brief (and from any other addendum) by a distinctively colored page. A party need not resubmit material included with a previous brief or addendum; if it is not repeated, a statement must appear under this heading as follows: [e]</w:t>
      </w:r>
      <w:proofErr w:type="spellStart"/>
      <w:r>
        <w:t>xcept</w:t>
      </w:r>
      <w:proofErr w:type="spellEnd"/>
      <w:r>
        <w:t xml:space="preserve"> for the following, all applicable statutes, etc., are contained in the brief or addendum of _________. All opening briefs filed in counseled petitions for review of immigration cases must include an addendum comprised of the orders being challenged, including any orders of the immigration court and Board of Immigration Appeals. The addendum shall be bound with the brief but separated from the brief by a distinctively colored page.</w:t>
      </w:r>
    </w:p>
    <w:p w14:paraId="5369FE94" w14:textId="77777777" w:rsidR="00573397" w:rsidRDefault="00000000" w:rsidP="00F33E4E">
      <w:pPr>
        <w:pStyle w:val="Heading1"/>
      </w:pPr>
      <w:r>
        <w:t>CERTIFICATE OF COMPLIANCE</w:t>
      </w:r>
    </w:p>
    <w:p w14:paraId="245847D6" w14:textId="77777777" w:rsidR="00573397" w:rsidRDefault="00000000" w:rsidP="006A45B4">
      <w:r>
        <w:t>Pursuant to Federal Rule of Appellate Procedure 32(g), I certify that this brief:</w:t>
      </w:r>
    </w:p>
    <w:p w14:paraId="0A658600" w14:textId="77777777" w:rsidR="00F33E4E" w:rsidRDefault="00000000" w:rsidP="00F33E4E">
      <w:pPr>
        <w:pStyle w:val="ListParagraph"/>
        <w:numPr>
          <w:ilvl w:val="0"/>
          <w:numId w:val="20"/>
        </w:numPr>
      </w:pPr>
      <w:r>
        <w:lastRenderedPageBreak/>
        <w:t>Complies with the type-volume limitation of FRAP 32(a)(7)(B) because this brief contains [WORD COUNT] words, excluding the parts of the brief exempted by FRAP 32(f).</w:t>
      </w:r>
    </w:p>
    <w:p w14:paraId="6AF7BFB6" w14:textId="77777777" w:rsidR="00F33E4E" w:rsidRDefault="00F33E4E" w:rsidP="00F33E4E">
      <w:pPr>
        <w:pStyle w:val="ListParagraph"/>
        <w:ind w:left="360" w:firstLine="0"/>
      </w:pPr>
    </w:p>
    <w:p w14:paraId="52EC10FE" w14:textId="73D26EF6" w:rsidR="00573397" w:rsidRDefault="00000000" w:rsidP="00F33E4E">
      <w:pPr>
        <w:pStyle w:val="ListParagraph"/>
        <w:numPr>
          <w:ilvl w:val="0"/>
          <w:numId w:val="20"/>
        </w:numPr>
      </w:pPr>
      <w:r>
        <w:t>Complies with the typeface requirements of FRAP 32(a)(5) and the type-style requirements of FRAP 32(a)(6) because this brief has been prepared in a proportionally spaced typeface using Microsoft Word in 14-point Times New Roman.</w:t>
      </w:r>
    </w:p>
    <w:p w14:paraId="4554B804" w14:textId="77777777" w:rsidR="00573397" w:rsidRDefault="00000000" w:rsidP="00F33E4E">
      <w:pPr>
        <w:spacing w:after="600"/>
      </w:pPr>
      <w:r>
        <w:t>Dated: December 07, 2025</w:t>
      </w:r>
    </w:p>
    <w:p w14:paraId="2FB181B5" w14:textId="77777777" w:rsidR="00573397" w:rsidRDefault="00000000" w:rsidP="00F33E4E">
      <w:pPr>
        <w:pStyle w:val="Questions"/>
        <w:ind w:left="0"/>
      </w:pPr>
      <w:r>
        <w:br w:type="page"/>
      </w:r>
    </w:p>
    <w:p w14:paraId="47C9C07D" w14:textId="77777777" w:rsidR="00573397" w:rsidRDefault="00000000" w:rsidP="00F33E4E">
      <w:pPr>
        <w:pStyle w:val="Heading1"/>
      </w:pPr>
      <w:r>
        <w:t>CERTIFICATE OF SERVICE</w:t>
      </w:r>
    </w:p>
    <w:p w14:paraId="21EA5D0B" w14:textId="77777777" w:rsidR="00573397" w:rsidRDefault="00000000" w:rsidP="006A45B4">
      <w:r>
        <w:t>I hereby certify that on December 07, 2025, I electronically filed the foregoing brief with the Clerk of Court using the CM/ECF system, which will send notification of such filing to all counsel of record.</w:t>
      </w:r>
    </w:p>
    <w:p w14:paraId="37003C79" w14:textId="77777777" w:rsidR="00573397" w:rsidRDefault="00000000" w:rsidP="006A45B4">
      <w:r>
        <w:t>/s/ Tyler Allen Lofall</w:t>
      </w:r>
    </w:p>
    <w:sectPr w:rsidR="0057339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ED299" w14:textId="77777777" w:rsidR="000B7C02" w:rsidRDefault="000B7C02" w:rsidP="00697075">
      <w:pPr>
        <w:spacing w:before="0" w:after="0" w:line="240" w:lineRule="auto"/>
      </w:pPr>
      <w:r>
        <w:separator/>
      </w:r>
    </w:p>
  </w:endnote>
  <w:endnote w:type="continuationSeparator" w:id="0">
    <w:p w14:paraId="61C8A72E" w14:textId="77777777" w:rsidR="000B7C02" w:rsidRDefault="000B7C02" w:rsidP="00697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0E1B" w14:textId="77777777" w:rsidR="000B7C02" w:rsidRDefault="000B7C02" w:rsidP="00697075">
      <w:pPr>
        <w:spacing w:before="0" w:after="0" w:line="240" w:lineRule="auto"/>
      </w:pPr>
      <w:r>
        <w:separator/>
      </w:r>
    </w:p>
  </w:footnote>
  <w:footnote w:type="continuationSeparator" w:id="0">
    <w:p w14:paraId="13FAE30C" w14:textId="77777777" w:rsidR="000B7C02" w:rsidRDefault="000B7C02"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proofErr w:type="gramStart"/>
      <w:r w:rsidRPr="008317AD">
        <w:t>some of</w:t>
      </w:r>
      <w:proofErr w:type="gramEnd"/>
      <w:r w:rsidRPr="008317AD">
        <w:t xml:space="preserve"> </w:t>
      </w:r>
      <w:proofErr w:type="gramStart"/>
      <w:r w:rsidRPr="008317AD">
        <w:t>this things</w:t>
      </w:r>
      <w:proofErr w:type="gramEnd"/>
      <w:r w:rsidRPr="008317AD">
        <w:t xml:space="preserve"> to a </w:t>
      </w:r>
      <w:proofErr w:type="spellStart"/>
      <w:proofErr w:type="gramStart"/>
      <w:r w:rsidRPr="008317AD">
        <w:t>friends</w:t>
      </w:r>
      <w:proofErr w:type="spellEnd"/>
      <w:proofErr w:type="gramEnd"/>
      <w:r w:rsidRPr="008317AD">
        <w:t xml:space="preserve"> house, ( friend </w:t>
      </w:r>
      <w:proofErr w:type="gramStart"/>
      <w:r w:rsidRPr="008317AD">
        <w:t>who’s</w:t>
      </w:r>
      <w:proofErr w:type="gramEnd"/>
      <w:r w:rsidRPr="008317AD">
        <w:t xml:space="preserve"> car was given away May 24</w:t>
      </w:r>
      <w:r w:rsidRPr="008317AD">
        <w:rPr>
          <w:vertAlign w:val="superscript"/>
        </w:rPr>
        <w:t>th</w:t>
      </w:r>
      <w:proofErr w:type="gramStart"/>
      <w:r w:rsidRPr="008317AD">
        <w:t xml:space="preserve"> 2022</w:t>
      </w:r>
      <w:proofErr w:type="gramEnd"/>
      <w:r w:rsidRPr="008317AD">
        <w:t>)</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proofErr w:type="spellStart"/>
      <w:r w:rsidRPr="00AD3393">
        <w:rPr>
          <w:b/>
          <w:bCs/>
        </w:rPr>
        <w:t>its</w:t>
      </w:r>
      <w:proofErr w:type="spellEnd"/>
      <w:r w:rsidRPr="00AD3393">
        <w:rPr>
          <w:b/>
          <w:bCs/>
        </w:rPr>
        <w:t xml:space="preserve">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proofErr w:type="spellStart"/>
      <w:r w:rsidRPr="00AD3393">
        <w:rPr>
          <w:b/>
          <w:bCs/>
        </w:rPr>
        <w:t>to</w:t>
      </w:r>
      <w:proofErr w:type="spellEnd"/>
      <w:r w:rsidRPr="00AD3393">
        <w:rPr>
          <w:b/>
          <w:bCs/>
        </w:rPr>
        <w:t xml:space="preserve">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proofErr w:type="gramStart"/>
      <w:r w:rsidRPr="006E4288">
        <w:t>many</w:t>
      </w:r>
      <w:proofErr w:type="gramEnd"/>
      <w:r w:rsidRPr="006E4288">
        <w:t xml:space="preserve"> fingers he himself would be holding up at arm's reach. By then, the damage was done: the AOB trial had been missed, the criminal trials had been canceled, and the legal files had been deleted.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16587"/>
    <w:multiLevelType w:val="hybridMultilevel"/>
    <w:tmpl w:val="94BC95F6"/>
    <w:lvl w:ilvl="0" w:tplc="941EEBE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7"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4"/>
  </w:num>
  <w:num w:numId="2" w16cid:durableId="1060831917">
    <w:abstractNumId w:val="7"/>
  </w:num>
  <w:num w:numId="3" w16cid:durableId="1039401407">
    <w:abstractNumId w:val="4"/>
    <w:lvlOverride w:ilvl="0">
      <w:startOverride w:val="1"/>
    </w:lvlOverride>
  </w:num>
  <w:num w:numId="4" w16cid:durableId="1458600273">
    <w:abstractNumId w:val="10"/>
  </w:num>
  <w:num w:numId="5" w16cid:durableId="1046835536">
    <w:abstractNumId w:val="10"/>
    <w:lvlOverride w:ilvl="0">
      <w:startOverride w:val="1"/>
    </w:lvlOverride>
  </w:num>
  <w:num w:numId="6" w16cid:durableId="617178284">
    <w:abstractNumId w:val="10"/>
    <w:lvlOverride w:ilvl="0">
      <w:startOverride w:val="1"/>
    </w:lvlOverride>
  </w:num>
  <w:num w:numId="7" w16cid:durableId="1303459043">
    <w:abstractNumId w:val="5"/>
  </w:num>
  <w:num w:numId="8" w16cid:durableId="1934850558">
    <w:abstractNumId w:val="5"/>
    <w:lvlOverride w:ilvl="0">
      <w:startOverride w:val="1"/>
    </w:lvlOverride>
  </w:num>
  <w:num w:numId="9" w16cid:durableId="859859480">
    <w:abstractNumId w:val="9"/>
  </w:num>
  <w:num w:numId="10" w16cid:durableId="305667961">
    <w:abstractNumId w:val="9"/>
  </w:num>
  <w:num w:numId="11" w16cid:durableId="1380857282">
    <w:abstractNumId w:val="9"/>
  </w:num>
  <w:num w:numId="12" w16cid:durableId="1974938952">
    <w:abstractNumId w:val="9"/>
  </w:num>
  <w:num w:numId="13" w16cid:durableId="635792910">
    <w:abstractNumId w:val="9"/>
  </w:num>
  <w:num w:numId="14" w16cid:durableId="1843469044">
    <w:abstractNumId w:val="9"/>
  </w:num>
  <w:num w:numId="15" w16cid:durableId="584613229">
    <w:abstractNumId w:val="9"/>
  </w:num>
  <w:num w:numId="16" w16cid:durableId="1459251982">
    <w:abstractNumId w:val="9"/>
  </w:num>
  <w:num w:numId="17" w16cid:durableId="238292739">
    <w:abstractNumId w:val="9"/>
  </w:num>
  <w:num w:numId="18" w16cid:durableId="1974212228">
    <w:abstractNumId w:val="5"/>
  </w:num>
  <w:num w:numId="19" w16cid:durableId="1859198495">
    <w:abstractNumId w:val="2"/>
  </w:num>
  <w:num w:numId="20" w16cid:durableId="1431125389">
    <w:abstractNumId w:val="1"/>
  </w:num>
  <w:num w:numId="21" w16cid:durableId="219562954">
    <w:abstractNumId w:val="9"/>
  </w:num>
  <w:num w:numId="22" w16cid:durableId="1118916256">
    <w:abstractNumId w:val="9"/>
  </w:num>
  <w:num w:numId="23" w16cid:durableId="1952004169">
    <w:abstractNumId w:val="9"/>
  </w:num>
  <w:num w:numId="24" w16cid:durableId="854147156">
    <w:abstractNumId w:val="6"/>
  </w:num>
  <w:num w:numId="25" w16cid:durableId="770513487">
    <w:abstractNumId w:val="0"/>
    <w:lvlOverride w:ilvl="0">
      <w:startOverride w:val="1"/>
    </w:lvlOverride>
  </w:num>
  <w:num w:numId="26" w16cid:durableId="358747535">
    <w:abstractNumId w:val="8"/>
  </w:num>
  <w:num w:numId="27" w16cid:durableId="1315337295">
    <w:abstractNumId w:val="3"/>
  </w:num>
  <w:num w:numId="28" w16cid:durableId="1829663999">
    <w:abstractNumId w:val="5"/>
    <w:lvlOverride w:ilvl="0">
      <w:startOverride w:val="1"/>
    </w:lvlOverride>
  </w:num>
  <w:num w:numId="29" w16cid:durableId="746001916">
    <w:abstractNumId w:val="5"/>
  </w:num>
  <w:num w:numId="30" w16cid:durableId="1614677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2017A4"/>
    <w:rsid w:val="0025255C"/>
    <w:rsid w:val="002A4897"/>
    <w:rsid w:val="00300F8A"/>
    <w:rsid w:val="00307673"/>
    <w:rsid w:val="0034202D"/>
    <w:rsid w:val="003828E0"/>
    <w:rsid w:val="00426DDB"/>
    <w:rsid w:val="004763D1"/>
    <w:rsid w:val="004B69CD"/>
    <w:rsid w:val="00573397"/>
    <w:rsid w:val="00697075"/>
    <w:rsid w:val="006A45B4"/>
    <w:rsid w:val="006E4A09"/>
    <w:rsid w:val="007B26C3"/>
    <w:rsid w:val="007F7BA1"/>
    <w:rsid w:val="00800263"/>
    <w:rsid w:val="00821DBA"/>
    <w:rsid w:val="0083367E"/>
    <w:rsid w:val="008C7DEA"/>
    <w:rsid w:val="00D10CCF"/>
    <w:rsid w:val="00D9276F"/>
    <w:rsid w:val="00E178EA"/>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FA63F8"/>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uiPriority w:val="9"/>
    <w:unhideWhenUsed/>
    <w:qFormat/>
    <w:rsid w:val="00697075"/>
    <w:pPr>
      <w:keepNext/>
      <w:spacing w:before="240" w:after="60"/>
      <w:outlineLvl w:val="2"/>
    </w:pPr>
    <w:rPr>
      <w:rFonts w:ascii="Aptos Display" w:hAnsi="Aptos Display"/>
      <w:bCs/>
      <w:sz w:val="26"/>
      <w:szCs w:val="26"/>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FA63F8"/>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semiHidden/>
    <w:rsid w:val="00697075"/>
    <w:rPr>
      <w:rFonts w:ascii="Aptos Display" w:eastAsia="Times New Roman" w:hAnsi="Aptos Display" w:cs="Times New Roman"/>
      <w:b/>
      <w:bCs/>
      <w:kern w:val="2"/>
      <w:sz w:val="26"/>
      <w:szCs w:val="26"/>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86</Pages>
  <Words>17199</Words>
  <Characters>98037</Characters>
  <Application>Microsoft Office Word</Application>
  <DocSecurity>0</DocSecurity>
  <Lines>816</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2025-12-08T20:54:00Z</dcterms:created>
  <dcterms:modified xsi:type="dcterms:W3CDTF">2025-12-08T20:54:00Z</dcterms:modified>
</cp:coreProperties>
</file>