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Appendix C – Template Catalogue</w:t>
        <w:br/>
        <w:t>Version 1.0</w:t>
      </w:r>
    </w:p>
    <w:p>
      <w:pPr>
        <w:pStyle w:val="Heading2"/>
      </w:pPr>
      <w:r>
        <w:t>C.1 Purpose</w:t>
      </w:r>
    </w:p>
    <w:p>
      <w:r>
        <w:t>This appendix documents the proposed Jinja2/HTML templates that make up the Care Guidance Framework user interface. It serves as a reference during implementation and future maintenance.</w:t>
      </w:r>
    </w:p>
    <w:p>
      <w:pPr>
        <w:pStyle w:val="Heading2"/>
      </w:pPr>
      <w:r>
        <w:t>C.2 Administration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Template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Primary Users</w:t>
            </w:r>
          </w:p>
        </w:tc>
      </w:tr>
      <w:tr>
        <w:tc>
          <w:tcPr>
            <w:tcW w:type="dxa" w:w="2880"/>
          </w:tcPr>
          <w:p>
            <w:r>
              <w:t>care_guidance_list.html</w:t>
            </w:r>
          </w:p>
        </w:tc>
        <w:tc>
          <w:tcPr>
            <w:tcW w:type="dxa" w:w="2880"/>
          </w:tcPr>
          <w:p>
            <w:r>
              <w:t>List, search and filter guidance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</w:tr>
      <w:tr>
        <w:tc>
          <w:tcPr>
            <w:tcW w:type="dxa" w:w="2880"/>
          </w:tcPr>
          <w:p>
            <w:r>
              <w:t>care_guidance_new.html</w:t>
            </w:r>
          </w:p>
        </w:tc>
        <w:tc>
          <w:tcPr>
            <w:tcW w:type="dxa" w:w="2880"/>
          </w:tcPr>
          <w:p>
            <w:r>
              <w:t>Create new guidance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</w:tr>
      <w:tr>
        <w:tc>
          <w:tcPr>
            <w:tcW w:type="dxa" w:w="2880"/>
          </w:tcPr>
          <w:p>
            <w:r>
              <w:t>care_guidance_edit.html</w:t>
            </w:r>
          </w:p>
        </w:tc>
        <w:tc>
          <w:tcPr>
            <w:tcW w:type="dxa" w:w="2880"/>
          </w:tcPr>
          <w:p>
            <w:r>
              <w:t>Edit by creating a new version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</w:tr>
      <w:tr>
        <w:tc>
          <w:tcPr>
            <w:tcW w:type="dxa" w:w="2880"/>
          </w:tcPr>
          <w:p>
            <w:r>
              <w:t>care_guidance_detail.html</w:t>
            </w:r>
          </w:p>
        </w:tc>
        <w:tc>
          <w:tcPr>
            <w:tcW w:type="dxa" w:w="2880"/>
          </w:tcPr>
          <w:p>
            <w:r>
              <w:t>Display guidance details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</w:tr>
      <w:tr>
        <w:tc>
          <w:tcPr>
            <w:tcW w:type="dxa" w:w="2880"/>
          </w:tcPr>
          <w:p>
            <w:r>
              <w:t>care_guidance_history.html</w:t>
            </w:r>
          </w:p>
        </w:tc>
        <w:tc>
          <w:tcPr>
            <w:tcW w:type="dxa" w:w="2880"/>
          </w:tcPr>
          <w:p>
            <w:r>
              <w:t>View version history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</w:tr>
      <w:tr>
        <w:tc>
          <w:tcPr>
            <w:tcW w:type="dxa" w:w="2880"/>
          </w:tcPr>
          <w:p>
            <w:r>
              <w:t>care_guidance_client.html</w:t>
            </w:r>
          </w:p>
        </w:tc>
        <w:tc>
          <w:tcPr>
            <w:tcW w:type="dxa" w:w="2880"/>
          </w:tcPr>
          <w:p>
            <w:r>
              <w:t>Client-specific guidance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</w:tr>
      <w:tr>
        <w:tc>
          <w:tcPr>
            <w:tcW w:type="dxa" w:w="2880"/>
          </w:tcPr>
          <w:p>
            <w:r>
              <w:t>care_guidance_module.html</w:t>
            </w:r>
          </w:p>
        </w:tc>
        <w:tc>
          <w:tcPr>
            <w:tcW w:type="dxa" w:w="2880"/>
          </w:tcPr>
          <w:p>
            <w:r>
              <w:t>Module-specific guidance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</w:tr>
    </w:tbl>
    <w:p>
      <w:pPr>
        <w:pStyle w:val="Heading2"/>
      </w:pPr>
      <w:r>
        <w:t>C.3 Shared Partial Templates</w:t>
      </w:r>
    </w:p>
    <w:p>
      <w:pPr>
        <w:pStyle w:val="ListBullet"/>
      </w:pPr>
      <w:r>
        <w:t>_care_guidance_panel.html – reusable point-of-care guidance panel.</w:t>
      </w:r>
    </w:p>
    <w:p>
      <w:pPr>
        <w:pStyle w:val="ListBullet"/>
      </w:pPr>
      <w:r>
        <w:t>_care_guidance_priority_badge.html – displays Information, Important or Critical status.</w:t>
      </w:r>
    </w:p>
    <w:p>
      <w:pPr>
        <w:pStyle w:val="ListBullet"/>
      </w:pPr>
      <w:r>
        <w:t>_care_guidance_summary.html – compact guidance summary for dashboards (future).</w:t>
      </w:r>
    </w:p>
    <w:p>
      <w:pPr>
        <w:pStyle w:val="Heading2"/>
      </w:pPr>
      <w:r>
        <w:t>C.4 Operational Integration</w:t>
      </w:r>
    </w:p>
    <w:p>
      <w:pPr>
        <w:pStyle w:val="ListBullet"/>
      </w:pPr>
      <w:r>
        <w:t>Medication administration screen.</w:t>
      </w:r>
    </w:p>
    <w:p>
      <w:pPr>
        <w:pStyle w:val="ListBullet"/>
      </w:pPr>
      <w:r>
        <w:t>Care Task recording screen.</w:t>
      </w:r>
    </w:p>
    <w:p>
      <w:pPr>
        <w:pStyle w:val="ListBullet"/>
      </w:pPr>
      <w:r>
        <w:t>Housekeeping recording screen.</w:t>
      </w:r>
    </w:p>
    <w:p>
      <w:pPr>
        <w:pStyle w:val="ListBullet"/>
      </w:pPr>
      <w:r>
        <w:t>Behaviour module.</w:t>
      </w:r>
    </w:p>
    <w:p>
      <w:pPr>
        <w:pStyle w:val="ListBullet"/>
      </w:pPr>
      <w:r>
        <w:t>BM Tracker.</w:t>
      </w:r>
    </w:p>
    <w:p>
      <w:pPr>
        <w:pStyle w:val="ListBullet"/>
      </w:pPr>
      <w:r>
        <w:t>Sleep Tracker.</w:t>
      </w:r>
    </w:p>
    <w:p>
      <w:pPr>
        <w:pStyle w:val="ListBullet"/>
      </w:pPr>
      <w:r>
        <w:t>Food &amp; Beverage module.</w:t>
      </w:r>
    </w:p>
    <w:p>
      <w:pPr>
        <w:pStyle w:val="ListBullet"/>
      </w:pPr>
      <w:r>
        <w:t>Future operational modules.</w:t>
      </w:r>
    </w:p>
    <w:p>
      <w:pPr>
        <w:pStyle w:val="Heading2"/>
      </w:pPr>
      <w:r>
        <w:t>C.5 User Interface Standards</w:t>
      </w:r>
    </w:p>
    <w:p>
      <w:pPr>
        <w:pStyle w:val="ListBullet"/>
      </w:pPr>
      <w:r>
        <w:t>Read-only display for Support Workers.</w:t>
      </w:r>
    </w:p>
    <w:p>
      <w:pPr>
        <w:pStyle w:val="ListBullet"/>
      </w:pPr>
      <w:r>
        <w:t>Consistent panel layout across all modules.</w:t>
      </w:r>
    </w:p>
    <w:p>
      <w:pPr>
        <w:pStyle w:val="ListBullet"/>
      </w:pPr>
      <w:r>
        <w:t>Priority indicators clearly visible.</w:t>
      </w:r>
    </w:p>
    <w:p>
      <w:pPr>
        <w:pStyle w:val="ListBullet"/>
      </w:pPr>
      <w:r>
        <w:t>Responsive design for desktop, tablet and mobile.</w:t>
      </w:r>
    </w:p>
    <w:p>
      <w:pPr>
        <w:pStyle w:val="ListBullet"/>
      </w:pPr>
      <w:r>
        <w:t>Historical versions never editable.</w:t>
      </w:r>
    </w:p>
    <w:p>
      <w:pPr>
        <w:pStyle w:val="Heading2"/>
      </w:pPr>
      <w:r>
        <w:t>C.6 Version 1 Boundaries</w:t>
      </w:r>
    </w:p>
    <w:p>
      <w:pPr>
        <w:pStyle w:val="ListBullet"/>
      </w:pPr>
      <w:r>
        <w:t>No image or video templates.</w:t>
      </w:r>
    </w:p>
    <w:p>
      <w:pPr>
        <w:pStyle w:val="ListBullet"/>
      </w:pPr>
      <w:r>
        <w:t>No attachment management templates.</w:t>
      </w:r>
    </w:p>
    <w:p>
      <w:pPr>
        <w:pStyle w:val="ListBullet"/>
      </w:pPr>
      <w:r>
        <w:t>No approval workflow screens.</w:t>
      </w:r>
    </w:p>
    <w:p>
      <w:pPr>
        <w:pStyle w:val="ListBullet"/>
      </w:pPr>
      <w:r>
        <w:t>No acknowledgement dialog.</w:t>
      </w:r>
    </w:p>
    <w:p>
      <w:pPr>
        <w:pStyle w:val="Heading2"/>
      </w:pPr>
      <w:r>
        <w:t>C.7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Reusable partial templates used throughout the platform.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Operational modules embed guidance rather than duplicate layouts.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Management uses dedicated administration templates.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Consistent UI across all modules.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