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I – Future Enhancements Roadmap</w:t>
        <w:br/>
        <w:t>Version 1.0</w:t>
      </w:r>
    </w:p>
    <w:p>
      <w:pPr>
        <w:pStyle w:val="Heading2"/>
      </w:pPr>
      <w:r>
        <w:t>I.1 Purpose</w:t>
      </w:r>
    </w:p>
    <w:p>
      <w:r>
        <w:t>This appendix outlines the planned evolution of the Care Guidance Framework beyond Version 1. It provides a roadmap for future capabilities while preserving the core architecture established in this specification.</w:t>
      </w:r>
    </w:p>
    <w:p>
      <w:pPr>
        <w:pStyle w:val="Heading2"/>
      </w:pPr>
      <w:r>
        <w:t>I.2 Short-Term Enhancements (Version 2)</w:t>
      </w:r>
    </w:p>
    <w:p>
      <w:pPr>
        <w:pStyle w:val="ListBullet"/>
      </w:pPr>
      <w:r>
        <w:t>Support document attachments.</w:t>
      </w:r>
    </w:p>
    <w:p>
      <w:pPr>
        <w:pStyle w:val="ListBullet"/>
      </w:pPr>
      <w:r>
        <w:t>Display images and diagrams.</w:t>
      </w:r>
    </w:p>
    <w:p>
      <w:pPr>
        <w:pStyle w:val="ListBullet"/>
      </w:pPr>
      <w:r>
        <w:t>Provide hyperlinks to external policies.</w:t>
      </w:r>
    </w:p>
    <w:p>
      <w:pPr>
        <w:pStyle w:val="ListBullet"/>
      </w:pPr>
      <w:r>
        <w:t>Scheduled guidance review reminders.</w:t>
      </w:r>
    </w:p>
    <w:p>
      <w:pPr>
        <w:pStyle w:val="ListBullet"/>
      </w:pPr>
      <w:r>
        <w:t>Management approval workflow.</w:t>
      </w:r>
    </w:p>
    <w:p>
      <w:pPr>
        <w:pStyle w:val="Heading2"/>
      </w:pPr>
      <w:r>
        <w:t>I.3 Medium-Term Enhancements (Version 3)</w:t>
      </w:r>
    </w:p>
    <w:p>
      <w:pPr>
        <w:pStyle w:val="ListBullet"/>
      </w:pPr>
      <w:r>
        <w:t>Video guidance support.</w:t>
      </w:r>
    </w:p>
    <w:p>
      <w:pPr>
        <w:pStyle w:val="ListBullet"/>
      </w:pPr>
      <w:r>
        <w:t>Multilingual guidance.</w:t>
      </w:r>
    </w:p>
    <w:p>
      <w:pPr>
        <w:pStyle w:val="ListBullet"/>
      </w:pPr>
      <w:r>
        <w:t>Advanced search and filtering.</w:t>
      </w:r>
    </w:p>
    <w:p>
      <w:pPr>
        <w:pStyle w:val="ListBullet"/>
      </w:pPr>
      <w:r>
        <w:t>Enhanced reporting dashboards.</w:t>
      </w:r>
    </w:p>
    <w:p>
      <w:pPr>
        <w:pStyle w:val="ListBullet"/>
      </w:pPr>
      <w:r>
        <w:t>Role-based review workflows.</w:t>
      </w:r>
    </w:p>
    <w:p>
      <w:pPr>
        <w:pStyle w:val="Heading2"/>
      </w:pPr>
      <w:r>
        <w:t>I.4 Long-Term Vision</w:t>
      </w:r>
    </w:p>
    <w:p>
      <w:pPr>
        <w:pStyle w:val="ListBullet"/>
      </w:pPr>
      <w:r>
        <w:t>AI-assisted summaries of guidance.</w:t>
      </w:r>
    </w:p>
    <w:p>
      <w:pPr>
        <w:pStyle w:val="ListBullet"/>
      </w:pPr>
      <w:r>
        <w:t>Context-aware guidance recommendations.</w:t>
      </w:r>
    </w:p>
    <w:p>
      <w:pPr>
        <w:pStyle w:val="ListBullet"/>
      </w:pPr>
      <w:r>
        <w:t>Predictive identification of outdated guidance.</w:t>
      </w:r>
    </w:p>
    <w:p>
      <w:pPr>
        <w:pStyle w:val="ListBullet"/>
      </w:pPr>
      <w:r>
        <w:t>Integration with future clinical decision support tools.</w:t>
      </w:r>
    </w:p>
    <w:p>
      <w:pPr>
        <w:pStyle w:val="ListBullet"/>
      </w:pPr>
      <w:r>
        <w:t>Cross-module knowledge analytics.</w:t>
      </w:r>
    </w:p>
    <w:p>
      <w:pPr>
        <w:pStyle w:val="Heading2"/>
      </w:pPr>
      <w:r>
        <w:t>I.5 Design Principles</w:t>
      </w:r>
    </w:p>
    <w:p>
      <w:pPr>
        <w:pStyle w:val="ListBullet"/>
      </w:pPr>
      <w:r>
        <w:t>Maintain backward compatibility where practical.</w:t>
      </w:r>
    </w:p>
    <w:p>
      <w:pPr>
        <w:pStyle w:val="ListBullet"/>
      </w:pPr>
      <w:r>
        <w:t>Protect historical audit records.</w:t>
      </w:r>
    </w:p>
    <w:p>
      <w:pPr>
        <w:pStyle w:val="ListBullet"/>
      </w:pPr>
      <w:r>
        <w:t>Reuse existing NHPSG frameworks.</w:t>
      </w:r>
    </w:p>
    <w:p>
      <w:pPr>
        <w:pStyle w:val="ListBullet"/>
      </w:pPr>
      <w:r>
        <w:t>Avoid duplication across operational modules.</w:t>
      </w:r>
    </w:p>
    <w:p>
      <w:pPr>
        <w:pStyle w:val="ListBullet"/>
      </w:pPr>
      <w:r>
        <w:t>Keep guidance client-centred.</w:t>
      </w:r>
    </w:p>
    <w:p>
      <w:pPr>
        <w:pStyle w:val="Heading2"/>
      </w:pPr>
      <w:r>
        <w:t>I.6 Roadmap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Primary Focus</w:t>
            </w:r>
          </w:p>
        </w:tc>
      </w:tr>
      <w:tr>
        <w:tc>
          <w:tcPr>
            <w:tcW w:type="dxa" w:w="4320"/>
          </w:tcPr>
          <w:p>
            <w:r>
              <w:t>Version 1</w:t>
            </w:r>
          </w:p>
        </w:tc>
        <w:tc>
          <w:tcPr>
            <w:tcW w:type="dxa" w:w="4320"/>
          </w:tcPr>
          <w:p>
            <w:r>
              <w:t>Core framework, versioning, administration and integration.</w:t>
            </w:r>
          </w:p>
        </w:tc>
      </w:tr>
      <w:tr>
        <w:tc>
          <w:tcPr>
            <w:tcW w:type="dxa" w:w="4320"/>
          </w:tcPr>
          <w:p>
            <w:r>
              <w:t>Version 2</w:t>
            </w:r>
          </w:p>
        </w:tc>
        <w:tc>
          <w:tcPr>
            <w:tcW w:type="dxa" w:w="4320"/>
          </w:tcPr>
          <w:p>
            <w:r>
              <w:t>Attachments, images, reminders and approvals.</w:t>
            </w:r>
          </w:p>
        </w:tc>
      </w:tr>
      <w:tr>
        <w:tc>
          <w:tcPr>
            <w:tcW w:type="dxa" w:w="4320"/>
          </w:tcPr>
          <w:p>
            <w:r>
              <w:t>Version 3</w:t>
            </w:r>
          </w:p>
        </w:tc>
        <w:tc>
          <w:tcPr>
            <w:tcW w:type="dxa" w:w="4320"/>
          </w:tcPr>
          <w:p>
            <w:r>
              <w:t>Video, multilingual support, analytics and AI assistance.</w:t>
            </w:r>
          </w:p>
        </w:tc>
      </w:tr>
      <w:tr>
        <w:tc>
          <w:tcPr>
            <w:tcW w:type="dxa" w:w="4320"/>
          </w:tcPr>
          <w:p>
            <w:r>
              <w:t>Future</w:t>
            </w:r>
          </w:p>
        </w:tc>
        <w:tc>
          <w:tcPr>
            <w:tcW w:type="dxa" w:w="4320"/>
          </w:tcPr>
          <w:p>
            <w:r>
              <w:t>Continuous enhancement aligned with NHPSG platform growth.</w:t>
            </w:r>
          </w:p>
        </w:tc>
      </w:tr>
    </w:tbl>
    <w:p>
      <w:pPr>
        <w:pStyle w:val="Heading2"/>
      </w:pPr>
      <w:r>
        <w:t>I.7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Future enhancements extend the existing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Backward compatibility is preferred.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New functionality should be reusable across modules.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The roadmap will be reviewed regularly as NHPSG Manager evolves.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