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J – Glossary of Terms</w:t>
        <w:br/>
        <w:t>Version 1.0</w:t>
      </w:r>
    </w:p>
    <w:p>
      <w:pPr>
        <w:pStyle w:val="Heading2"/>
      </w:pPr>
      <w:r>
        <w:t>J.1 Purpose</w:t>
      </w:r>
    </w:p>
    <w:p>
      <w:r>
        <w:t>This glossary defines the key terms used throughout the Care Guidance Framework Specification. It provides a common vocabulary for developers, management, support staff, and future contributors to the NHPSG Manager platform.</w:t>
      </w:r>
    </w:p>
    <w:p>
      <w:pPr>
        <w:pStyle w:val="Heading2"/>
      </w:pPr>
      <w:r>
        <w:t>J.2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Activity Log</w:t>
            </w:r>
          </w:p>
        </w:tc>
        <w:tc>
          <w:tcPr>
            <w:tcW w:type="dxa" w:w="4320"/>
          </w:tcPr>
          <w:p>
            <w:r>
              <w:t>The central audit framework that records significant system events.</w:t>
            </w:r>
          </w:p>
        </w:tc>
      </w:tr>
      <w:tr>
        <w:tc>
          <w:tcPr>
            <w:tcW w:type="dxa" w:w="4320"/>
          </w:tcPr>
          <w:p>
            <w:r>
              <w:t>Archive</w:t>
            </w:r>
          </w:p>
        </w:tc>
        <w:tc>
          <w:tcPr>
            <w:tcW w:type="dxa" w:w="4320"/>
          </w:tcPr>
          <w:p>
            <w:r>
              <w:t>The process of retiring a guidance record while preserving it for audit purposes.</w:t>
            </w:r>
          </w:p>
        </w:tc>
      </w:tr>
      <w:tr>
        <w:tc>
          <w:tcPr>
            <w:tcW w:type="dxa" w:w="4320"/>
          </w:tcPr>
          <w:p>
            <w:r>
              <w:t>Care Guidance</w:t>
            </w:r>
          </w:p>
        </w:tc>
        <w:tc>
          <w:tcPr>
            <w:tcW w:type="dxa" w:w="4320"/>
          </w:tcPr>
          <w:p>
            <w:r>
              <w:t>Operational instructions provided to assist staff in delivering consistent, person-centred care.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The individual receiving support services within NHPSG Manager.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A reusable platform component that can be shared across multiple operational modules.</w:t>
            </w:r>
          </w:p>
        </w:tc>
      </w:tr>
      <w:tr>
        <w:tc>
          <w:tcPr>
            <w:tcW w:type="dxa" w:w="4320"/>
          </w:tcPr>
          <w:p>
            <w:r>
              <w:t>Guidance Panel</w:t>
            </w:r>
          </w:p>
        </w:tc>
        <w:tc>
          <w:tcPr>
            <w:tcW w:type="dxa" w:w="4320"/>
          </w:tcPr>
          <w:p>
            <w:r>
              <w:t>The read-only interface displaying relevant care guidance during operational workflows.</w:t>
            </w:r>
          </w:p>
        </w:tc>
      </w:tr>
      <w:tr>
        <w:tc>
          <w:tcPr>
            <w:tcW w:type="dxa" w:w="4320"/>
          </w:tcPr>
          <w:p>
            <w:r>
              <w:t>Historical Version</w:t>
            </w:r>
          </w:p>
        </w:tc>
        <w:tc>
          <w:tcPr>
            <w:tcW w:type="dxa" w:w="4320"/>
          </w:tcPr>
          <w:p>
            <w:r>
              <w:t>A previous version of a guidance record retained for audit and reference.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 functional area of NHPSG Manager such as Medication, Behaviour, BM Tracker, or Housekeeping.</w:t>
            </w:r>
          </w:p>
        </w:tc>
      </w:tr>
      <w:tr>
        <w:tc>
          <w:tcPr>
            <w:tcW w:type="dxa" w:w="4320"/>
          </w:tcPr>
          <w:p>
            <w:r>
              <w:t>Operational Module</w:t>
            </w:r>
          </w:p>
        </w:tc>
        <w:tc>
          <w:tcPr>
            <w:tcW w:type="dxa" w:w="4320"/>
          </w:tcPr>
          <w:p>
            <w:r>
              <w:t>A module that supports day-to-day service delivery and consumes Care Guidance.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The importance level assigned to guidance (Information, Important, or Critical).</w:t>
            </w:r>
          </w:p>
        </w:tc>
      </w:tr>
      <w:tr>
        <w:tc>
          <w:tcPr>
            <w:tcW w:type="dxa" w:w="4320"/>
          </w:tcPr>
          <w:p>
            <w:r>
              <w:t>Restore</w:t>
            </w:r>
          </w:p>
        </w:tc>
        <w:tc>
          <w:tcPr>
            <w:tcW w:type="dxa" w:w="4320"/>
          </w:tcPr>
          <w:p>
            <w:r>
              <w:t>The process of reactivating an archived guidance record where permitted.</w:t>
            </w:r>
          </w:p>
        </w:tc>
      </w:tr>
      <w:tr>
        <w:tc>
          <w:tcPr>
            <w:tcW w:type="dxa" w:w="4320"/>
          </w:tcPr>
          <w:p>
            <w:r>
              <w:t>Support Worker</w:t>
            </w:r>
          </w:p>
        </w:tc>
        <w:tc>
          <w:tcPr>
            <w:tcW w:type="dxa" w:w="4320"/>
          </w:tcPr>
          <w:p>
            <w:r>
              <w:t>A user responsible for providing direct care and viewing operational guidance.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A controlled revision of a guidance record that preserves historical changes.</w:t>
            </w:r>
          </w:p>
        </w:tc>
      </w:tr>
      <w:tr>
        <w:tc>
          <w:tcPr>
            <w:tcW w:type="dxa" w:w="4320"/>
          </w:tcPr>
          <w:p>
            <w:r>
              <w:t>Version History</w:t>
            </w:r>
          </w:p>
        </w:tc>
        <w:tc>
          <w:tcPr>
            <w:tcW w:type="dxa" w:w="4320"/>
          </w:tcPr>
          <w:p>
            <w:r>
              <w:t>The chronological record of all revisions made to a guidance item.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The process of maintaining multiple historical versions of a guidance record.</w:t>
            </w:r>
          </w:p>
        </w:tc>
      </w:tr>
    </w:tbl>
    <w:p>
      <w:pPr>
        <w:pStyle w:val="Heading2"/>
      </w:pPr>
      <w:r>
        <w:t>J.3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Artificial Intelligence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CSV</w:t>
            </w:r>
          </w:p>
        </w:tc>
        <w:tc>
          <w:tcPr>
            <w:tcW w:type="dxa" w:w="4320"/>
          </w:tcPr>
          <w:p>
            <w:r>
              <w:t>Comma-Separated Values</w:t>
            </w:r>
          </w:p>
        </w:tc>
      </w:tr>
      <w:tr>
        <w:tc>
          <w:tcPr>
            <w:tcW w:type="dxa" w:w="4320"/>
          </w:tcPr>
          <w:p>
            <w:r>
              <w:t>HTML</w:t>
            </w:r>
          </w:p>
        </w:tc>
        <w:tc>
          <w:tcPr>
            <w:tcW w:type="dxa" w:w="4320"/>
          </w:tcPr>
          <w:p>
            <w:r>
              <w:t>HyperText Markup Language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HyperText Transfer Protocol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JavaScript Object Notation</w:t>
            </w:r>
          </w:p>
        </w:tc>
      </w:tr>
      <w:tr>
        <w:tc>
          <w:tcPr>
            <w:tcW w:type="dxa" w:w="4320"/>
          </w:tcPr>
          <w:p>
            <w:r>
              <w:t>NHPSG</w:t>
            </w:r>
          </w:p>
        </w:tc>
        <w:tc>
          <w:tcPr>
            <w:tcW w:type="dxa" w:w="4320"/>
          </w:tcPr>
          <w:p>
            <w:r>
              <w:t>Neville's Happy Place Support Group Society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Portable Document Format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User Interface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User Experience</w:t>
            </w:r>
          </w:p>
        </w:tc>
      </w:tr>
    </w:tbl>
    <w:p>
      <w:pPr>
        <w:pStyle w:val="Heading2"/>
      </w:pPr>
      <w:r>
        <w:t>J.4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Terminology is consistent throughout the specification.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Definitions align with existing NHPSG architecture.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Future terms may be added without changing existing definitions.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The glossary serves as the authoritative terminology reference for this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